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F4" w:rsidRDefault="008E7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8A67F4" w:rsidRDefault="008A67F4">
      <w:pPr>
        <w:spacing w:line="480" w:lineRule="exact"/>
        <w:jc w:val="center"/>
        <w:rPr>
          <w:rFonts w:ascii="隶书" w:eastAsia="隶书" w:hAnsi="宋体"/>
          <w:bCs/>
          <w:color w:val="000000"/>
          <w:sz w:val="36"/>
          <w:szCs w:val="36"/>
        </w:rPr>
      </w:pPr>
    </w:p>
    <w:p w:rsidR="008A67F4" w:rsidRDefault="008E7CC2">
      <w:pPr>
        <w:spacing w:line="360" w:lineRule="auto"/>
        <w:rPr>
          <w:b/>
        </w:rPr>
      </w:pPr>
      <w:r>
        <w:rPr>
          <w:rFonts w:hint="eastAsia"/>
          <w:b/>
        </w:rPr>
        <w:t>公司名称：</w:t>
      </w:r>
      <w:bookmarkStart w:id="0" w:name="组织名称"/>
      <w:r>
        <w:rPr>
          <w:rFonts w:hint="eastAsia"/>
          <w:b/>
          <w:szCs w:val="22"/>
          <w:u w:val="single"/>
        </w:rPr>
        <w:t>浙江嘉顿木业有限公司</w:t>
      </w:r>
      <w:bookmarkEnd w:id="0"/>
      <w:r>
        <w:rPr>
          <w:rFonts w:hint="eastAsia"/>
          <w:b/>
          <w:u w:val="single"/>
        </w:rPr>
        <w:t xml:space="preserve">  </w:t>
      </w:r>
      <w:r>
        <w:rPr>
          <w:rFonts w:hint="eastAsia"/>
          <w:b/>
        </w:rPr>
        <w:t xml:space="preserve">                                                  </w:t>
      </w:r>
      <w:r>
        <w:rPr>
          <w:rFonts w:ascii="宋体" w:hAnsi="宋体" w:hint="eastAsia"/>
        </w:rPr>
        <w:t>■</w:t>
      </w:r>
      <w:r>
        <w:rPr>
          <w:rFonts w:hint="eastAsia"/>
          <w:b/>
        </w:rPr>
        <w:t xml:space="preserve">QMS    </w:t>
      </w:r>
      <w:r>
        <w:rPr>
          <w:rFonts w:ascii="宋体" w:hAnsi="宋体" w:cs="宋体" w:hint="eastAsia"/>
        </w:rPr>
        <w:t>□</w:t>
      </w:r>
      <w:r>
        <w:rPr>
          <w:rFonts w:hint="eastAsia"/>
          <w:b/>
        </w:rPr>
        <w:t xml:space="preserve">EMS     </w:t>
      </w:r>
      <w:r>
        <w:rPr>
          <w:rFonts w:ascii="宋体" w:hAnsi="宋体" w:hint="eastAsia"/>
        </w:rPr>
        <w:t>■</w:t>
      </w:r>
      <w:r>
        <w:rPr>
          <w:rFonts w:hint="eastAsia"/>
          <w:b/>
        </w:rPr>
        <w:t>OHSMS</w:t>
      </w:r>
    </w:p>
    <w:p w:rsidR="008A67F4" w:rsidRDefault="008E7CC2">
      <w:pPr>
        <w:spacing w:beforeLines="50" w:before="156" w:afterLines="50" w:after="156"/>
        <w:rPr>
          <w:rFonts w:ascii="宋体" w:hAnsi="宋体"/>
        </w:rPr>
      </w:pPr>
      <w:r>
        <w:rPr>
          <w:rFonts w:ascii="宋体" w:hAnsi="宋体" w:hint="eastAsia"/>
        </w:rPr>
        <w:t xml:space="preserve">审核区域: </w:t>
      </w:r>
      <w:r w:rsidR="002F1852">
        <w:rPr>
          <w:rFonts w:ascii="宋体" w:hAnsi="宋体" w:hint="eastAsia"/>
        </w:rPr>
        <w:t>综合管理部</w:t>
      </w:r>
      <w:r>
        <w:rPr>
          <w:rFonts w:ascii="宋体" w:hAnsi="宋体" w:hint="eastAsia"/>
        </w:rPr>
        <w:t xml:space="preserve">、生产部、质检部                    </w:t>
      </w:r>
    </w:p>
    <w:p w:rsidR="008A67F4" w:rsidRDefault="008E7CC2">
      <w:pPr>
        <w:spacing w:beforeLines="50" w:before="156" w:afterLines="50" w:after="156"/>
        <w:rPr>
          <w:rFonts w:ascii="宋体" w:hAnsi="宋体"/>
        </w:rPr>
      </w:pPr>
      <w:r>
        <w:rPr>
          <w:rFonts w:ascii="宋体" w:hAnsi="宋体" w:hint="eastAsia"/>
        </w:rPr>
        <w:t>审核员：   姜海军                                                     审核时间:  2020 年08月11日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8A67F4">
        <w:trPr>
          <w:cantSplit/>
          <w:trHeight w:val="1188"/>
        </w:trPr>
        <w:tc>
          <w:tcPr>
            <w:tcW w:w="568" w:type="dxa"/>
            <w:vAlign w:val="center"/>
          </w:tcPr>
          <w:p w:rsidR="008A67F4" w:rsidRDefault="008E7CC2">
            <w:pPr>
              <w:ind w:leftChars="-50" w:left="-105"/>
              <w:jc w:val="center"/>
              <w:rPr>
                <w:rFonts w:ascii="宋体" w:hAnsi="宋体"/>
                <w:b/>
                <w:szCs w:val="21"/>
              </w:rPr>
            </w:pPr>
            <w:r>
              <w:rPr>
                <w:rFonts w:ascii="宋体" w:hAnsi="宋体" w:hint="eastAsia"/>
                <w:b/>
                <w:szCs w:val="21"/>
              </w:rPr>
              <w:t>审</w:t>
            </w:r>
          </w:p>
          <w:p w:rsidR="008A67F4" w:rsidRDefault="008E7CC2">
            <w:pPr>
              <w:ind w:leftChars="-50" w:left="-105"/>
              <w:jc w:val="center"/>
              <w:rPr>
                <w:rFonts w:ascii="宋体" w:hAnsi="宋体"/>
                <w:b/>
                <w:szCs w:val="21"/>
              </w:rPr>
            </w:pPr>
            <w:r>
              <w:rPr>
                <w:rFonts w:ascii="宋体" w:hAnsi="宋体" w:hint="eastAsia"/>
                <w:b/>
                <w:szCs w:val="21"/>
              </w:rPr>
              <w:t xml:space="preserve"> 核</w:t>
            </w:r>
          </w:p>
          <w:p w:rsidR="008A67F4" w:rsidRDefault="008E7CC2">
            <w:pPr>
              <w:ind w:leftChars="-50" w:left="-105"/>
              <w:jc w:val="center"/>
              <w:rPr>
                <w:rFonts w:ascii="宋体" w:hAnsi="宋体"/>
                <w:b/>
                <w:szCs w:val="21"/>
              </w:rPr>
            </w:pPr>
            <w:r>
              <w:rPr>
                <w:rFonts w:ascii="宋体" w:hAnsi="宋体" w:hint="eastAsia"/>
                <w:b/>
                <w:szCs w:val="21"/>
              </w:rPr>
              <w:t xml:space="preserve"> 提</w:t>
            </w:r>
          </w:p>
          <w:p w:rsidR="008A67F4" w:rsidRDefault="008E7CC2">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rsidR="008A67F4" w:rsidRDefault="008E7CC2">
            <w:pPr>
              <w:spacing w:line="0" w:lineRule="atLeast"/>
              <w:rPr>
                <w:rFonts w:ascii="宋体" w:hAnsi="宋体"/>
                <w:szCs w:val="21"/>
              </w:rPr>
            </w:pPr>
            <w:r>
              <w:rPr>
                <w:rFonts w:ascii="宋体" w:hAnsi="宋体" w:hint="eastAsia"/>
                <w:szCs w:val="21"/>
              </w:rPr>
              <w:t>О涉及的管理体系要求、主管的过程要求、参与/协同实施的要求</w:t>
            </w:r>
          </w:p>
          <w:p w:rsidR="008A67F4" w:rsidRDefault="008E7CC2">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rsidR="008A67F4" w:rsidRDefault="008E7CC2">
            <w:pPr>
              <w:tabs>
                <w:tab w:val="left" w:pos="5337"/>
              </w:tabs>
              <w:spacing w:line="0" w:lineRule="atLeast"/>
              <w:rPr>
                <w:rFonts w:ascii="宋体" w:hAnsi="宋体"/>
                <w:szCs w:val="21"/>
              </w:rPr>
            </w:pPr>
            <w:r>
              <w:rPr>
                <w:rFonts w:ascii="宋体" w:hAnsi="宋体" w:hint="eastAsia"/>
                <w:szCs w:val="21"/>
              </w:rPr>
              <w:t>О职责和权限</w:t>
            </w:r>
          </w:p>
          <w:p w:rsidR="008A67F4" w:rsidRDefault="008E7CC2">
            <w:pPr>
              <w:tabs>
                <w:tab w:val="left" w:pos="5974"/>
              </w:tabs>
              <w:spacing w:line="0" w:lineRule="atLeast"/>
              <w:rPr>
                <w:rFonts w:ascii="宋体" w:hAnsi="宋体"/>
                <w:szCs w:val="21"/>
              </w:rPr>
            </w:pPr>
            <w:r>
              <w:rPr>
                <w:rFonts w:ascii="宋体" w:hAnsi="宋体" w:hint="eastAsia"/>
                <w:szCs w:val="21"/>
              </w:rPr>
              <w:t>О目标分解及实施</w:t>
            </w:r>
          </w:p>
          <w:p w:rsidR="008A67F4" w:rsidRDefault="008E7CC2">
            <w:pPr>
              <w:tabs>
                <w:tab w:val="left" w:pos="5337"/>
              </w:tabs>
              <w:spacing w:line="0" w:lineRule="atLeast"/>
              <w:rPr>
                <w:rFonts w:ascii="宋体" w:hAnsi="宋体"/>
                <w:szCs w:val="21"/>
              </w:rPr>
            </w:pPr>
            <w:r>
              <w:rPr>
                <w:rFonts w:ascii="宋体" w:hAnsi="宋体" w:hint="eastAsia"/>
                <w:szCs w:val="21"/>
              </w:rPr>
              <w:t>О资源配置：人力、设备设施、工作环境</w:t>
            </w:r>
          </w:p>
          <w:p w:rsidR="008A67F4" w:rsidRDefault="008E7CC2">
            <w:pPr>
              <w:tabs>
                <w:tab w:val="left" w:pos="5337"/>
              </w:tabs>
              <w:spacing w:line="0" w:lineRule="atLeast"/>
              <w:rPr>
                <w:rFonts w:ascii="宋体" w:hAnsi="宋体"/>
                <w:szCs w:val="21"/>
              </w:rPr>
            </w:pPr>
            <w:r>
              <w:rPr>
                <w:rFonts w:ascii="宋体" w:hAnsi="宋体" w:hint="eastAsia"/>
                <w:szCs w:val="21"/>
              </w:rPr>
              <w:t>О信息、数据及沟通</w:t>
            </w:r>
          </w:p>
          <w:p w:rsidR="008A67F4" w:rsidRDefault="008E7CC2">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8A67F4" w:rsidRDefault="008E7CC2">
            <w:pPr>
              <w:spacing w:line="0" w:lineRule="atLeast"/>
              <w:rPr>
                <w:rFonts w:ascii="宋体" w:hAnsi="宋体"/>
                <w:szCs w:val="21"/>
              </w:rPr>
            </w:pPr>
            <w:r>
              <w:rPr>
                <w:rFonts w:ascii="宋体" w:hAnsi="宋体" w:hint="eastAsia"/>
                <w:szCs w:val="21"/>
              </w:rPr>
              <w:t>О现场文件审查</w:t>
            </w:r>
          </w:p>
          <w:p w:rsidR="008A67F4" w:rsidRDefault="008E7CC2">
            <w:pPr>
              <w:spacing w:line="0" w:lineRule="atLeast"/>
              <w:rPr>
                <w:rFonts w:ascii="宋体" w:hAnsi="宋体"/>
                <w:szCs w:val="21"/>
              </w:rPr>
            </w:pPr>
            <w:r>
              <w:rPr>
                <w:rFonts w:ascii="宋体" w:hAnsi="宋体" w:hint="eastAsia"/>
                <w:szCs w:val="21"/>
              </w:rPr>
              <w:t>完整性、充分性、适宜性、有效性及控制</w:t>
            </w:r>
          </w:p>
          <w:p w:rsidR="008A67F4" w:rsidRDefault="008E7CC2">
            <w:pPr>
              <w:spacing w:line="0" w:lineRule="atLeast"/>
              <w:rPr>
                <w:rFonts w:ascii="宋体" w:hAnsi="宋体"/>
                <w:szCs w:val="21"/>
              </w:rPr>
            </w:pPr>
            <w:r>
              <w:rPr>
                <w:rFonts w:ascii="宋体" w:hAnsi="宋体" w:hint="eastAsia"/>
                <w:szCs w:val="21"/>
              </w:rPr>
              <w:t>О记录表式、填写、控制</w:t>
            </w:r>
          </w:p>
          <w:p w:rsidR="008A67F4" w:rsidRDefault="008E7CC2">
            <w:pPr>
              <w:spacing w:line="0" w:lineRule="atLeast"/>
              <w:rPr>
                <w:rFonts w:ascii="宋体" w:hAnsi="宋体"/>
                <w:szCs w:val="21"/>
              </w:rPr>
            </w:pPr>
            <w:r>
              <w:rPr>
                <w:rFonts w:ascii="宋体" w:hAnsi="宋体" w:hint="eastAsia"/>
                <w:szCs w:val="21"/>
              </w:rPr>
              <w:t>О监视和测量</w:t>
            </w:r>
          </w:p>
          <w:p w:rsidR="008A67F4" w:rsidRDefault="008E7CC2">
            <w:pPr>
              <w:spacing w:line="0" w:lineRule="atLeast"/>
              <w:rPr>
                <w:rFonts w:ascii="宋体" w:hAnsi="宋体"/>
                <w:szCs w:val="21"/>
              </w:rPr>
            </w:pPr>
            <w:r>
              <w:rPr>
                <w:rFonts w:ascii="宋体" w:hAnsi="宋体" w:hint="eastAsia"/>
                <w:szCs w:val="21"/>
              </w:rPr>
              <w:t>О不合格处置</w:t>
            </w:r>
          </w:p>
          <w:p w:rsidR="008A67F4" w:rsidRDefault="008E7CC2">
            <w:pPr>
              <w:spacing w:line="0" w:lineRule="atLeast"/>
              <w:rPr>
                <w:rFonts w:ascii="仿宋_GB2312" w:eastAsia="仿宋_GB2312"/>
                <w:sz w:val="18"/>
              </w:rPr>
            </w:pPr>
            <w:r>
              <w:rPr>
                <w:rFonts w:ascii="宋体" w:hAnsi="宋体" w:hint="eastAsia"/>
                <w:szCs w:val="21"/>
              </w:rPr>
              <w:t>О分析和持续改进</w:t>
            </w:r>
          </w:p>
        </w:tc>
      </w:tr>
      <w:tr w:rsidR="008A67F4">
        <w:trPr>
          <w:cantSplit/>
          <w:trHeight w:val="375"/>
        </w:trPr>
        <w:tc>
          <w:tcPr>
            <w:tcW w:w="14408" w:type="dxa"/>
            <w:gridSpan w:val="3"/>
          </w:tcPr>
          <w:p w:rsidR="008A67F4" w:rsidRDefault="0081594C">
            <w:pPr>
              <w:spacing w:line="0" w:lineRule="atLeast"/>
              <w:rPr>
                <w:rFonts w:ascii="宋体" w:hAnsi="宋体"/>
                <w:szCs w:val="21"/>
              </w:rPr>
            </w:pPr>
            <w:r>
              <w:rPr>
                <w:rFonts w:ascii="宋体" w:hAnsi="宋体"/>
                <w:b/>
                <w:noProof/>
                <w:szCs w:val="21"/>
              </w:rPr>
              <mc:AlternateContent>
                <mc:Choice Requires="wps">
                  <w:drawing>
                    <wp:anchor distT="4294967295" distB="4294967295" distL="114299" distR="114299" simplePos="0" relativeHeight="251658240" behindDoc="0" locked="0" layoutInCell="0" allowOverlap="1">
                      <wp:simplePos x="0" y="0"/>
                      <wp:positionH relativeFrom="column">
                        <wp:posOffset>4343399</wp:posOffset>
                      </wp:positionH>
                      <wp:positionV relativeFrom="paragraph">
                        <wp:posOffset>95249</wp:posOffset>
                      </wp:positionV>
                      <wp:extent cx="635" cy="0"/>
                      <wp:effectExtent l="0" t="0" r="0" b="0"/>
                      <wp:wrapNone/>
                      <wp:docPr id="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GaEgIAACY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" o:allowincell="f"/>
                  </w:pict>
                </mc:Fallback>
              </mc:AlternateContent>
            </w:r>
            <w:r w:rsidR="008E7CC2">
              <w:rPr>
                <w:rFonts w:ascii="宋体" w:hAnsi="宋体" w:hint="eastAsia"/>
                <w:b/>
                <w:szCs w:val="21"/>
              </w:rPr>
              <w:t>评估：</w:t>
            </w:r>
            <w:r w:rsidR="008E7CC2">
              <w:rPr>
                <w:rFonts w:ascii="宋体" w:hAnsi="宋体" w:hint="eastAsia"/>
                <w:szCs w:val="21"/>
              </w:rPr>
              <w:t>1.符合准则要求; 2.基本符合准则要求（存在轻微问题，可接受），口头通知受审核方;3.未达到准则要求</w:t>
            </w:r>
          </w:p>
          <w:p w:rsidR="008A67F4" w:rsidRDefault="008E7CC2">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8A67F4" w:rsidRDefault="008E7CC2">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8A67F4" w:rsidRDefault="008A67F4">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8A67F4">
        <w:trPr>
          <w:trHeight w:val="630"/>
          <w:tblHeader/>
        </w:trPr>
        <w:tc>
          <w:tcPr>
            <w:tcW w:w="675" w:type="dxa"/>
            <w:vAlign w:val="center"/>
          </w:tcPr>
          <w:p w:rsidR="008A67F4" w:rsidRDefault="008E7CC2">
            <w:pPr>
              <w:adjustRightInd w:val="0"/>
              <w:spacing w:line="280" w:lineRule="exact"/>
              <w:jc w:val="center"/>
            </w:pPr>
            <w:r>
              <w:rPr>
                <w:rFonts w:hint="eastAsia"/>
              </w:rPr>
              <w:t>序号</w:t>
            </w:r>
          </w:p>
        </w:tc>
        <w:tc>
          <w:tcPr>
            <w:tcW w:w="12297" w:type="dxa"/>
            <w:vAlign w:val="center"/>
          </w:tcPr>
          <w:p w:rsidR="008A67F4" w:rsidRDefault="008E7CC2">
            <w:pPr>
              <w:adjustRightInd w:val="0"/>
              <w:spacing w:line="280" w:lineRule="exact"/>
              <w:jc w:val="center"/>
            </w:pPr>
            <w:r>
              <w:rPr>
                <w:rFonts w:hint="eastAsia"/>
              </w:rPr>
              <w:t>检查记录</w:t>
            </w:r>
          </w:p>
        </w:tc>
        <w:tc>
          <w:tcPr>
            <w:tcW w:w="1400" w:type="dxa"/>
          </w:tcPr>
          <w:p w:rsidR="008A67F4" w:rsidRDefault="008E7CC2">
            <w:pPr>
              <w:adjustRightInd w:val="0"/>
              <w:spacing w:line="280" w:lineRule="exact"/>
              <w:jc w:val="center"/>
            </w:pPr>
            <w:r>
              <w:rPr>
                <w:rFonts w:hint="eastAsia"/>
              </w:rPr>
              <w:t>评价</w:t>
            </w:r>
          </w:p>
        </w:tc>
      </w:tr>
      <w:tr w:rsidR="008A67F4">
        <w:trPr>
          <w:trHeight w:val="810"/>
        </w:trPr>
        <w:tc>
          <w:tcPr>
            <w:tcW w:w="675" w:type="dxa"/>
            <w:vMerge w:val="restart"/>
          </w:tcPr>
          <w:p w:rsidR="008A67F4" w:rsidRDefault="00155D89" w:rsidP="00155D89">
            <w:pPr>
              <w:adjustRightInd w:val="0"/>
              <w:spacing w:line="360" w:lineRule="auto"/>
              <w:jc w:val="left"/>
            </w:pPr>
            <w:r>
              <w:rPr>
                <w:rFonts w:hint="eastAsia"/>
              </w:rPr>
              <w:t>1</w:t>
            </w:r>
          </w:p>
        </w:tc>
        <w:tc>
          <w:tcPr>
            <w:tcW w:w="12297" w:type="dxa"/>
          </w:tcPr>
          <w:p w:rsidR="008A67F4" w:rsidRDefault="008E7CC2">
            <w:pPr>
              <w:adjustRightInd w:val="0"/>
              <w:spacing w:line="360" w:lineRule="auto"/>
              <w:jc w:val="left"/>
            </w:pPr>
            <w:r>
              <w:rPr>
                <w:rFonts w:ascii="宋体" w:hAnsi="宋体" w:hint="eastAsia"/>
                <w:b/>
                <w:szCs w:val="21"/>
              </w:rPr>
              <w:t>重要过程及重要因素的确定（包括组织的环境、产品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8A67F4" w:rsidRDefault="008A67F4">
            <w:pPr>
              <w:tabs>
                <w:tab w:val="left" w:pos="1305"/>
              </w:tabs>
            </w:pPr>
          </w:p>
        </w:tc>
      </w:tr>
      <w:tr w:rsidR="008A67F4">
        <w:trPr>
          <w:trHeight w:val="2475"/>
        </w:trPr>
        <w:tc>
          <w:tcPr>
            <w:tcW w:w="675" w:type="dxa"/>
            <w:vMerge/>
          </w:tcPr>
          <w:p w:rsidR="008A67F4" w:rsidRDefault="008A67F4">
            <w:pPr>
              <w:adjustRightInd w:val="0"/>
              <w:spacing w:line="360" w:lineRule="auto"/>
              <w:jc w:val="left"/>
            </w:pPr>
          </w:p>
        </w:tc>
        <w:tc>
          <w:tcPr>
            <w:tcW w:w="12297" w:type="dxa"/>
          </w:tcPr>
          <w:p w:rsidR="008A67F4" w:rsidRDefault="008E7CC2">
            <w:pPr>
              <w:adjustRightInd w:val="0"/>
              <w:spacing w:line="360" w:lineRule="auto"/>
              <w:jc w:val="left"/>
              <w:rPr>
                <w:szCs w:val="21"/>
              </w:rPr>
            </w:pPr>
            <w:r>
              <w:rPr>
                <w:rFonts w:hint="eastAsia"/>
                <w:szCs w:val="21"/>
              </w:rPr>
              <w:t>1</w:t>
            </w:r>
            <w:r>
              <w:rPr>
                <w:rFonts w:hint="eastAsia"/>
                <w:szCs w:val="21"/>
              </w:rPr>
              <w:t>、与组织目标和战略方向相关并影响其实现管理体系预期结果的各种外部和内部因素</w:t>
            </w:r>
            <w:r>
              <w:rPr>
                <w:rFonts w:hint="eastAsia"/>
                <w:szCs w:val="21"/>
              </w:rPr>
              <w:t>:</w:t>
            </w:r>
          </w:p>
          <w:p w:rsidR="008A67F4" w:rsidRDefault="008E7CC2">
            <w:pPr>
              <w:adjustRightInd w:val="0"/>
              <w:spacing w:line="360" w:lineRule="auto"/>
              <w:jc w:val="left"/>
              <w:rPr>
                <w:szCs w:val="21"/>
              </w:rPr>
            </w:pPr>
            <w:r>
              <w:rPr>
                <w:rFonts w:hint="eastAsia"/>
                <w:szCs w:val="21"/>
              </w:rPr>
              <w:t>1</w:t>
            </w:r>
            <w:r>
              <w:rPr>
                <w:rFonts w:hint="eastAsia"/>
                <w:szCs w:val="21"/>
              </w:rPr>
              <w:t>）确定情况：</w:t>
            </w:r>
          </w:p>
          <w:p w:rsidR="008A67F4" w:rsidRDefault="008E7CC2">
            <w:pPr>
              <w:adjustRightInd w:val="0"/>
              <w:spacing w:line="360" w:lineRule="auto"/>
              <w:jc w:val="left"/>
              <w:rPr>
                <w:szCs w:val="21"/>
              </w:rPr>
            </w:pPr>
            <w:r>
              <w:rPr>
                <w:rFonts w:hint="eastAsia"/>
                <w:szCs w:val="21"/>
              </w:rPr>
              <w:t>在《管理手册》中简单描述，提升《组织内外部环境要素识别表》和《企业</w:t>
            </w:r>
            <w:r>
              <w:rPr>
                <w:rFonts w:hint="eastAsia"/>
                <w:szCs w:val="21"/>
              </w:rPr>
              <w:t>SWOT</w:t>
            </w:r>
            <w:r>
              <w:rPr>
                <w:rFonts w:hint="eastAsia"/>
                <w:szCs w:val="21"/>
              </w:rPr>
              <w:t>分析报告》，确定了公司相关的内外部因素。</w:t>
            </w:r>
          </w:p>
          <w:p w:rsidR="008A67F4" w:rsidRDefault="008E7CC2">
            <w:pPr>
              <w:adjustRightInd w:val="0"/>
              <w:spacing w:line="360" w:lineRule="auto"/>
              <w:jc w:val="left"/>
              <w:rPr>
                <w:szCs w:val="21"/>
              </w:rPr>
            </w:pPr>
            <w:r>
              <w:rPr>
                <w:rFonts w:hint="eastAsia"/>
                <w:szCs w:val="21"/>
              </w:rPr>
              <w:t>2</w:t>
            </w:r>
            <w:r>
              <w:rPr>
                <w:rFonts w:hint="eastAsia"/>
                <w:szCs w:val="21"/>
              </w:rPr>
              <w:t>）监视和评审情况：</w:t>
            </w:r>
          </w:p>
          <w:p w:rsidR="008A67F4" w:rsidRDefault="008E7CC2">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8A67F4" w:rsidRDefault="008E7CC2">
            <w:pPr>
              <w:tabs>
                <w:tab w:val="left" w:pos="1305"/>
              </w:tabs>
            </w:pPr>
            <w:r>
              <w:t>Ok</w:t>
            </w:r>
          </w:p>
        </w:tc>
      </w:tr>
      <w:tr w:rsidR="008A67F4">
        <w:trPr>
          <w:trHeight w:val="90"/>
        </w:trPr>
        <w:tc>
          <w:tcPr>
            <w:tcW w:w="675" w:type="dxa"/>
            <w:vMerge/>
          </w:tcPr>
          <w:p w:rsidR="008A67F4" w:rsidRDefault="008A67F4">
            <w:pPr>
              <w:adjustRightInd w:val="0"/>
              <w:spacing w:line="360" w:lineRule="auto"/>
              <w:jc w:val="left"/>
            </w:pPr>
          </w:p>
        </w:tc>
        <w:tc>
          <w:tcPr>
            <w:tcW w:w="12297" w:type="dxa"/>
          </w:tcPr>
          <w:p w:rsidR="008A67F4" w:rsidRDefault="008E7CC2">
            <w:pPr>
              <w:adjustRightInd w:val="0"/>
              <w:spacing w:line="360" w:lineRule="auto"/>
              <w:jc w:val="left"/>
              <w:rPr>
                <w:rFonts w:ascii="宋体" w:hAnsi="宋体"/>
                <w:szCs w:val="21"/>
              </w:rPr>
            </w:pPr>
            <w:r>
              <w:rPr>
                <w:rFonts w:ascii="宋体" w:hAnsi="宋体" w:hint="eastAsia"/>
                <w:szCs w:val="21"/>
              </w:rPr>
              <w:t>2、与组织宗旨相关并影响其实现管理体系预期结果的各种外部和内部问题的确定情况：</w:t>
            </w:r>
          </w:p>
          <w:p w:rsidR="008A67F4" w:rsidRDefault="008E7CC2">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8A67F4" w:rsidRDefault="008E7CC2">
            <w:pPr>
              <w:tabs>
                <w:tab w:val="left" w:pos="1305"/>
              </w:tabs>
            </w:pPr>
            <w:r>
              <w:t>Ok</w:t>
            </w:r>
          </w:p>
        </w:tc>
      </w:tr>
      <w:tr w:rsidR="008A67F4">
        <w:trPr>
          <w:trHeight w:val="2450"/>
        </w:trPr>
        <w:tc>
          <w:tcPr>
            <w:tcW w:w="675" w:type="dxa"/>
            <w:vMerge/>
          </w:tcPr>
          <w:p w:rsidR="008A67F4" w:rsidRDefault="008A67F4">
            <w:pPr>
              <w:adjustRightInd w:val="0"/>
              <w:spacing w:line="360" w:lineRule="auto"/>
              <w:jc w:val="left"/>
            </w:pPr>
          </w:p>
        </w:tc>
        <w:tc>
          <w:tcPr>
            <w:tcW w:w="12297" w:type="dxa"/>
          </w:tcPr>
          <w:p w:rsidR="008A67F4" w:rsidRDefault="008E7CC2">
            <w:pPr>
              <w:adjustRightInd w:val="0"/>
              <w:spacing w:line="360" w:lineRule="auto"/>
              <w:jc w:val="left"/>
              <w:rPr>
                <w:rFonts w:ascii="宋体" w:hAnsi="宋体"/>
                <w:szCs w:val="21"/>
              </w:rPr>
            </w:pPr>
            <w:r>
              <w:rPr>
                <w:rFonts w:ascii="宋体" w:hAnsi="宋体" w:hint="eastAsia"/>
                <w:szCs w:val="21"/>
              </w:rPr>
              <w:t>3、查组织考虑和确定的风险和机遇、及确定的应对措施：</w:t>
            </w:r>
          </w:p>
          <w:p w:rsidR="008A67F4" w:rsidRDefault="008E7CC2">
            <w:pPr>
              <w:adjustRightInd w:val="0"/>
              <w:spacing w:line="360" w:lineRule="auto"/>
              <w:jc w:val="left"/>
              <w:rPr>
                <w:rFonts w:ascii="宋体" w:hAnsi="宋体"/>
                <w:szCs w:val="21"/>
              </w:rPr>
            </w:pPr>
            <w:r>
              <w:rPr>
                <w:rFonts w:ascii="宋体" w:hAnsi="宋体" w:hint="eastAsia"/>
                <w:szCs w:val="21"/>
              </w:rPr>
              <w:t>--查是否有针对性的分析、考虑：</w:t>
            </w:r>
          </w:p>
          <w:p w:rsidR="008A67F4" w:rsidRDefault="008E7CC2">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8A67F4" w:rsidRDefault="008E7CC2">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8A67F4" w:rsidRDefault="008E7CC2">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8A67F4" w:rsidRDefault="008E7CC2">
            <w:pPr>
              <w:tabs>
                <w:tab w:val="left" w:pos="1305"/>
              </w:tabs>
            </w:pPr>
            <w:r>
              <w:t>Ok</w:t>
            </w:r>
          </w:p>
        </w:tc>
      </w:tr>
      <w:tr w:rsidR="008A67F4">
        <w:trPr>
          <w:trHeight w:val="2642"/>
        </w:trPr>
        <w:tc>
          <w:tcPr>
            <w:tcW w:w="675" w:type="dxa"/>
            <w:vMerge/>
          </w:tcPr>
          <w:p w:rsidR="008A67F4" w:rsidRDefault="008A67F4">
            <w:pPr>
              <w:adjustRightInd w:val="0"/>
              <w:spacing w:line="360" w:lineRule="auto"/>
              <w:jc w:val="left"/>
            </w:pPr>
          </w:p>
        </w:tc>
        <w:tc>
          <w:tcPr>
            <w:tcW w:w="12297" w:type="dxa"/>
          </w:tcPr>
          <w:p w:rsidR="008A67F4" w:rsidRDefault="008E7CC2">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8A67F4" w:rsidRDefault="008E7CC2">
            <w:pPr>
              <w:adjustRightInd w:val="0"/>
              <w:spacing w:line="360" w:lineRule="auto"/>
              <w:jc w:val="left"/>
              <w:rPr>
                <w:rFonts w:ascii="宋体" w:hAnsi="宋体"/>
                <w:szCs w:val="21"/>
              </w:rPr>
            </w:pPr>
            <w:r>
              <w:rPr>
                <w:rFonts w:ascii="宋体" w:hAnsi="宋体" w:hint="eastAsia"/>
                <w:szCs w:val="21"/>
              </w:rPr>
              <w:t>1）过程描述：</w:t>
            </w:r>
          </w:p>
          <w:p w:rsidR="008A67F4" w:rsidRDefault="008E7CC2">
            <w:pPr>
              <w:rPr>
                <w:rFonts w:ascii="宋体" w:hAnsi="宋体" w:cs="Arial"/>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 xml:space="preserve">生产过程：原材料——机加工——砂磨——组装——打磨——油漆——软包——检验 </w:t>
            </w:r>
          </w:p>
          <w:p w:rsidR="008A67F4" w:rsidRDefault="008E7CC2">
            <w:pPr>
              <w:ind w:firstLineChars="600" w:firstLine="1260"/>
              <w:rPr>
                <w:rFonts w:ascii="宋体" w:hAnsi="宋体" w:cs="Arial"/>
                <w:szCs w:val="21"/>
              </w:rPr>
            </w:pPr>
            <w:r>
              <w:rPr>
                <w:rFonts w:ascii="宋体" w:hAnsi="宋体" w:cs="Arial" w:hint="eastAsia"/>
                <w:szCs w:val="21"/>
              </w:rPr>
              <w:t>注：油漆为特殊过程。</w:t>
            </w:r>
          </w:p>
          <w:p w:rsidR="008A67F4" w:rsidRDefault="008A67F4">
            <w:pPr>
              <w:rPr>
                <w:szCs w:val="21"/>
              </w:rPr>
            </w:pPr>
          </w:p>
          <w:p w:rsidR="008A67F4" w:rsidRDefault="008E7CC2">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/OHSMS</w:t>
            </w:r>
            <w:r>
              <w:rPr>
                <w:rFonts w:ascii="宋体" w:hAnsi="宋体" w:hint="eastAsia"/>
                <w:szCs w:val="21"/>
              </w:rPr>
              <w:t>）：</w:t>
            </w:r>
          </w:p>
          <w:p w:rsidR="008A67F4" w:rsidRDefault="008E7CC2">
            <w:pPr>
              <w:adjustRightInd w:val="0"/>
              <w:spacing w:line="360" w:lineRule="auto"/>
              <w:ind w:firstLineChars="150" w:firstLine="315"/>
              <w:jc w:val="left"/>
              <w:rPr>
                <w:rFonts w:ascii="宋体" w:hAnsi="宋体"/>
                <w:szCs w:val="21"/>
              </w:rPr>
            </w:pPr>
            <w:r>
              <w:rPr>
                <w:rFonts w:ascii="宋体" w:hAnsi="宋体" w:hint="eastAsia"/>
                <w:szCs w:val="21"/>
              </w:rPr>
              <w:t xml:space="preserve">     油漆</w:t>
            </w:r>
            <w:r>
              <w:rPr>
                <w:rFonts w:ascii="宋体" w:hAnsi="宋体" w:hint="eastAsia"/>
              </w:rPr>
              <w:t>过程</w:t>
            </w:r>
          </w:p>
          <w:p w:rsidR="008A67F4" w:rsidRDefault="008E7CC2">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8A67F4" w:rsidRDefault="008A67F4">
            <w:pPr>
              <w:tabs>
                <w:tab w:val="left" w:pos="1305"/>
              </w:tabs>
            </w:pPr>
          </w:p>
          <w:p w:rsidR="008A67F4" w:rsidRDefault="008A67F4">
            <w:pPr>
              <w:tabs>
                <w:tab w:val="left" w:pos="1305"/>
              </w:tabs>
            </w:pPr>
          </w:p>
          <w:p w:rsidR="008A67F4" w:rsidRDefault="008A67F4">
            <w:pPr>
              <w:tabs>
                <w:tab w:val="left" w:pos="1305"/>
              </w:tabs>
            </w:pPr>
          </w:p>
          <w:p w:rsidR="008A67F4" w:rsidRDefault="008A67F4">
            <w:pPr>
              <w:tabs>
                <w:tab w:val="left" w:pos="1305"/>
              </w:tabs>
            </w:pPr>
          </w:p>
          <w:p w:rsidR="008A67F4" w:rsidRDefault="008A67F4">
            <w:pPr>
              <w:tabs>
                <w:tab w:val="left" w:pos="1305"/>
              </w:tabs>
            </w:pPr>
          </w:p>
          <w:p w:rsidR="008A67F4" w:rsidRDefault="008E7CC2">
            <w:pPr>
              <w:tabs>
                <w:tab w:val="left" w:pos="1305"/>
              </w:tabs>
            </w:pPr>
            <w:r>
              <w:rPr>
                <w:rFonts w:hint="eastAsia"/>
              </w:rPr>
              <w:t>Ok</w:t>
            </w:r>
          </w:p>
          <w:p w:rsidR="008A67F4" w:rsidRDefault="008A67F4">
            <w:pPr>
              <w:tabs>
                <w:tab w:val="left" w:pos="1305"/>
              </w:tabs>
            </w:pPr>
          </w:p>
          <w:p w:rsidR="008A67F4" w:rsidRDefault="008A67F4">
            <w:pPr>
              <w:tabs>
                <w:tab w:val="left" w:pos="1305"/>
              </w:tabs>
            </w:pPr>
          </w:p>
          <w:p w:rsidR="008A67F4" w:rsidRDefault="008A67F4">
            <w:pPr>
              <w:tabs>
                <w:tab w:val="left" w:pos="1305"/>
              </w:tabs>
            </w:pPr>
          </w:p>
        </w:tc>
      </w:tr>
      <w:tr w:rsidR="008A67F4">
        <w:trPr>
          <w:trHeight w:val="1395"/>
        </w:trPr>
        <w:tc>
          <w:tcPr>
            <w:tcW w:w="675" w:type="dxa"/>
            <w:vMerge/>
          </w:tcPr>
          <w:p w:rsidR="008A67F4" w:rsidRDefault="008A67F4">
            <w:pPr>
              <w:adjustRightInd w:val="0"/>
              <w:spacing w:line="360" w:lineRule="auto"/>
              <w:jc w:val="left"/>
            </w:pPr>
          </w:p>
        </w:tc>
        <w:tc>
          <w:tcPr>
            <w:tcW w:w="12297" w:type="dxa"/>
          </w:tcPr>
          <w:p w:rsidR="008A67F4" w:rsidRDefault="008E7CC2">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8A67F4" w:rsidRDefault="008E7CC2">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8A67F4" w:rsidRDefault="008E7CC2">
            <w:pPr>
              <w:tabs>
                <w:tab w:val="left" w:pos="1305"/>
              </w:tabs>
              <w:rPr>
                <w:rFonts w:ascii="宋体" w:hAnsi="宋体"/>
                <w:u w:val="single"/>
              </w:rPr>
            </w:pPr>
            <w:r>
              <w:rPr>
                <w:rFonts w:ascii="宋体" w:hAnsi="宋体" w:hint="eastAsia"/>
              </w:rPr>
              <w:t xml:space="preserve">   </w:t>
            </w:r>
            <w:r>
              <w:rPr>
                <w:rFonts w:ascii="宋体" w:hAnsi="宋体" w:hint="eastAsia"/>
                <w:u w:val="single"/>
              </w:rPr>
              <w:t>产品运输过程外包。按照Q8.4条款要求进行控制。</w:t>
            </w:r>
          </w:p>
          <w:p w:rsidR="008A67F4" w:rsidRDefault="008E7CC2">
            <w:pPr>
              <w:tabs>
                <w:tab w:val="left" w:pos="1305"/>
              </w:tabs>
              <w:rPr>
                <w:rFonts w:ascii="宋体" w:hAnsi="宋体"/>
                <w:u w:val="single"/>
              </w:rPr>
            </w:pPr>
            <w:r>
              <w:rPr>
                <w:rFonts w:ascii="宋体" w:hAnsi="宋体" w:hint="eastAsia"/>
                <w:u w:val="single"/>
              </w:rPr>
              <w:t>未识别弧形板外包加工过程。</w:t>
            </w:r>
          </w:p>
        </w:tc>
        <w:tc>
          <w:tcPr>
            <w:tcW w:w="1400" w:type="dxa"/>
          </w:tcPr>
          <w:p w:rsidR="008A67F4" w:rsidRDefault="008A67F4">
            <w:pPr>
              <w:tabs>
                <w:tab w:val="left" w:pos="1305"/>
              </w:tabs>
            </w:pPr>
          </w:p>
          <w:p w:rsidR="008A67F4" w:rsidRDefault="008A67F4">
            <w:pPr>
              <w:tabs>
                <w:tab w:val="left" w:pos="1305"/>
              </w:tabs>
            </w:pPr>
          </w:p>
          <w:p w:rsidR="008A67F4" w:rsidRDefault="008E7CC2">
            <w:pPr>
              <w:tabs>
                <w:tab w:val="left" w:pos="1305"/>
              </w:tabs>
            </w:pPr>
            <w:r>
              <w:rPr>
                <w:rFonts w:hint="eastAsia"/>
              </w:rPr>
              <w:t>Ok</w:t>
            </w:r>
          </w:p>
        </w:tc>
      </w:tr>
      <w:tr w:rsidR="008A67F4">
        <w:trPr>
          <w:trHeight w:val="1395"/>
        </w:trPr>
        <w:tc>
          <w:tcPr>
            <w:tcW w:w="675" w:type="dxa"/>
            <w:vMerge/>
          </w:tcPr>
          <w:p w:rsidR="008A67F4" w:rsidRDefault="008A67F4">
            <w:pPr>
              <w:adjustRightInd w:val="0"/>
              <w:spacing w:line="360" w:lineRule="auto"/>
              <w:jc w:val="left"/>
            </w:pPr>
          </w:p>
        </w:tc>
        <w:tc>
          <w:tcPr>
            <w:tcW w:w="12297" w:type="dxa"/>
          </w:tcPr>
          <w:p w:rsidR="008A67F4" w:rsidRDefault="008E7CC2">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8A67F4" w:rsidRDefault="008E7CC2">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 xml:space="preserve">  的环境因素</w:t>
            </w:r>
            <w:r>
              <w:rPr>
                <w:rFonts w:ascii="宋体" w:hAnsi="宋体" w:hint="eastAsia"/>
              </w:rPr>
              <w:t>。</w:t>
            </w:r>
          </w:p>
          <w:p w:rsidR="008A67F4" w:rsidRDefault="008E7CC2">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rPr>
              <w:t>项，经评价为重要环境因素的有：</w:t>
            </w:r>
          </w:p>
          <w:p w:rsidR="008A67F4" w:rsidRDefault="008E7CC2">
            <w:pPr>
              <w:adjustRightInd w:val="0"/>
              <w:spacing w:line="360" w:lineRule="auto"/>
              <w:jc w:val="left"/>
              <w:rPr>
                <w:rFonts w:ascii="宋体"/>
              </w:rPr>
            </w:pPr>
            <w:r>
              <w:rPr>
                <w:rFonts w:ascii="宋体" w:hAnsi="宋体" w:hint="eastAsia"/>
              </w:rPr>
              <w:t>3）重要环境因素评价：</w:t>
            </w:r>
          </w:p>
          <w:p w:rsidR="008A67F4" w:rsidRDefault="008E7CC2">
            <w:pPr>
              <w:adjustRightInd w:val="0"/>
              <w:spacing w:line="360" w:lineRule="auto"/>
              <w:jc w:val="left"/>
              <w:rPr>
                <w:rFonts w:ascii="宋体"/>
                <w:szCs w:val="21"/>
              </w:rPr>
            </w:pPr>
            <w:r>
              <w:rPr>
                <w:rFonts w:ascii="宋体" w:hAnsi="宋体" w:hint="eastAsia"/>
                <w:szCs w:val="21"/>
              </w:rPr>
              <w:t>□齐全</w:t>
            </w:r>
          </w:p>
          <w:p w:rsidR="008A67F4" w:rsidRDefault="008E7CC2">
            <w:pPr>
              <w:adjustRightInd w:val="0"/>
              <w:spacing w:line="360" w:lineRule="auto"/>
              <w:jc w:val="left"/>
              <w:rPr>
                <w:rFonts w:ascii="宋体" w:hAnsi="宋体"/>
              </w:rPr>
            </w:pPr>
            <w:r>
              <w:rPr>
                <w:rFonts w:ascii="宋体" w:hAnsi="宋体" w:hint="eastAsia"/>
                <w:szCs w:val="21"/>
              </w:rPr>
              <w:t>□有遗漏，遗漏部分有：</w:t>
            </w:r>
            <w:r>
              <w:rPr>
                <w:rFonts w:hint="eastAsia"/>
                <w:color w:val="000000"/>
                <w:sz w:val="24"/>
                <w:szCs w:val="24"/>
              </w:rPr>
              <w:t xml:space="preserve"> </w:t>
            </w:r>
          </w:p>
        </w:tc>
        <w:tc>
          <w:tcPr>
            <w:tcW w:w="1400" w:type="dxa"/>
          </w:tcPr>
          <w:p w:rsidR="008A67F4" w:rsidRDefault="008E7CC2">
            <w:pPr>
              <w:tabs>
                <w:tab w:val="left" w:pos="1305"/>
              </w:tabs>
            </w:pPr>
            <w:r>
              <w:rPr>
                <w:rFonts w:hint="eastAsia"/>
              </w:rPr>
              <w:t>X</w:t>
            </w:r>
          </w:p>
        </w:tc>
      </w:tr>
      <w:tr w:rsidR="008A67F4">
        <w:trPr>
          <w:trHeight w:val="3716"/>
        </w:trPr>
        <w:tc>
          <w:tcPr>
            <w:tcW w:w="675" w:type="dxa"/>
            <w:vMerge/>
          </w:tcPr>
          <w:p w:rsidR="008A67F4" w:rsidRDefault="008A67F4">
            <w:pPr>
              <w:adjustRightInd w:val="0"/>
              <w:spacing w:line="360" w:lineRule="auto"/>
              <w:jc w:val="left"/>
            </w:pPr>
          </w:p>
        </w:tc>
        <w:tc>
          <w:tcPr>
            <w:tcW w:w="12297" w:type="dxa"/>
          </w:tcPr>
          <w:p w:rsidR="008A67F4" w:rsidRDefault="008E7CC2">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8A67F4" w:rsidRDefault="008E7CC2">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办公过程、采购过程、销售过程、生产过程、检验过程</w:t>
            </w:r>
            <w:r>
              <w:rPr>
                <w:rFonts w:ascii="宋体" w:hAnsi="宋体" w:hint="eastAsia"/>
              </w:rPr>
              <w:t>的危险源；</w:t>
            </w:r>
          </w:p>
          <w:p w:rsidR="008A67F4" w:rsidRDefault="008E7CC2">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4</w:t>
            </w:r>
            <w:r>
              <w:rPr>
                <w:rFonts w:ascii="宋体" w:hAnsi="宋体"/>
                <w:u w:val="single"/>
              </w:rPr>
              <w:t xml:space="preserve">  </w:t>
            </w:r>
            <w:r>
              <w:rPr>
                <w:rFonts w:ascii="宋体" w:hAnsi="宋体" w:hint="eastAsia"/>
              </w:rPr>
              <w:t>项，包括：</w:t>
            </w:r>
          </w:p>
          <w:p w:rsidR="008A67F4" w:rsidRDefault="008E7CC2">
            <w:pPr>
              <w:adjustRightInd w:val="0"/>
              <w:spacing w:line="360" w:lineRule="auto"/>
              <w:jc w:val="left"/>
              <w:rPr>
                <w:rFonts w:ascii="宋体"/>
              </w:rPr>
            </w:pPr>
            <w:r>
              <w:rPr>
                <w:rFonts w:ascii="宋体" w:hAnsi="宋体" w:hint="eastAsia"/>
                <w:u w:val="single"/>
              </w:rPr>
              <w:t>触电</w:t>
            </w:r>
            <w:r>
              <w:rPr>
                <w:rFonts w:ascii="宋体" w:hAnsi="宋体" w:hint="eastAsia"/>
                <w:szCs w:val="22"/>
                <w:u w:val="single"/>
              </w:rPr>
              <w:t>、火灾/爆炸、机械伤害、化学品中毒</w:t>
            </w:r>
            <w:r>
              <w:rPr>
                <w:rFonts w:ascii="宋体" w:hAnsi="宋体" w:hint="eastAsia"/>
                <w:u w:val="single"/>
              </w:rPr>
              <w:t>等。</w:t>
            </w:r>
          </w:p>
          <w:p w:rsidR="008A67F4" w:rsidRDefault="008E7CC2">
            <w:pPr>
              <w:adjustRightInd w:val="0"/>
              <w:spacing w:line="360" w:lineRule="auto"/>
              <w:jc w:val="left"/>
              <w:rPr>
                <w:rFonts w:ascii="宋体"/>
              </w:rPr>
            </w:pPr>
            <w:r>
              <w:rPr>
                <w:rFonts w:ascii="宋体" w:hAnsi="宋体" w:hint="eastAsia"/>
              </w:rPr>
              <w:t>3）重要危险源评价：</w:t>
            </w:r>
          </w:p>
          <w:p w:rsidR="008A67F4" w:rsidRDefault="008E7CC2">
            <w:pPr>
              <w:adjustRightInd w:val="0"/>
              <w:spacing w:line="360" w:lineRule="auto"/>
              <w:jc w:val="left"/>
              <w:rPr>
                <w:rFonts w:ascii="宋体"/>
                <w:szCs w:val="21"/>
              </w:rPr>
            </w:pPr>
            <w:r>
              <w:rPr>
                <w:rFonts w:ascii="宋体" w:hAnsi="宋体" w:hint="eastAsia"/>
                <w:szCs w:val="21"/>
              </w:rPr>
              <w:t>□齐全</w:t>
            </w:r>
          </w:p>
          <w:p w:rsidR="008A67F4" w:rsidRDefault="008E7CC2">
            <w:pPr>
              <w:adjustRightInd w:val="0"/>
              <w:spacing w:line="360" w:lineRule="auto"/>
              <w:jc w:val="left"/>
              <w:rPr>
                <w:rFonts w:ascii="宋体" w:hAnsi="宋体"/>
              </w:rPr>
            </w:pPr>
            <w:r>
              <w:rPr>
                <w:rFonts w:ascii="宋体" w:hAnsi="宋体" w:hint="eastAsia"/>
                <w:sz w:val="18"/>
                <w:szCs w:val="18"/>
              </w:rPr>
              <w:t>■</w:t>
            </w:r>
            <w:r>
              <w:rPr>
                <w:rFonts w:ascii="宋体" w:hAnsi="宋体" w:hint="eastAsia"/>
                <w:szCs w:val="21"/>
              </w:rPr>
              <w:t>有遗漏，遗漏部分有：</w:t>
            </w:r>
            <w:r>
              <w:rPr>
                <w:rFonts w:hint="eastAsia"/>
                <w:color w:val="000000"/>
                <w:sz w:val="24"/>
                <w:szCs w:val="24"/>
              </w:rPr>
              <w:t>未识别粉尘和噪音的危险源</w:t>
            </w:r>
          </w:p>
        </w:tc>
        <w:tc>
          <w:tcPr>
            <w:tcW w:w="1400" w:type="dxa"/>
          </w:tcPr>
          <w:p w:rsidR="008A67F4" w:rsidRDefault="008E7CC2">
            <w:pPr>
              <w:tabs>
                <w:tab w:val="left" w:pos="1305"/>
              </w:tabs>
            </w:pPr>
            <w:r>
              <w:rPr>
                <w:rFonts w:hint="eastAsia"/>
              </w:rPr>
              <w:t>X</w:t>
            </w:r>
          </w:p>
        </w:tc>
      </w:tr>
      <w:tr w:rsidR="008A67F4">
        <w:trPr>
          <w:trHeight w:val="480"/>
        </w:trPr>
        <w:tc>
          <w:tcPr>
            <w:tcW w:w="675" w:type="dxa"/>
            <w:vMerge w:val="restart"/>
          </w:tcPr>
          <w:p w:rsidR="008A67F4" w:rsidRDefault="00155D89">
            <w:pPr>
              <w:adjustRightInd w:val="0"/>
              <w:spacing w:line="360" w:lineRule="auto"/>
              <w:jc w:val="left"/>
            </w:pPr>
            <w:r>
              <w:rPr>
                <w:rFonts w:hint="eastAsia"/>
              </w:rPr>
              <w:t>2</w:t>
            </w:r>
          </w:p>
        </w:tc>
        <w:tc>
          <w:tcPr>
            <w:tcW w:w="12297" w:type="dxa"/>
          </w:tcPr>
          <w:p w:rsidR="008A67F4" w:rsidRDefault="008E7CC2">
            <w:pPr>
              <w:adjustRightInd w:val="0"/>
              <w:spacing w:line="360" w:lineRule="auto"/>
              <w:jc w:val="left"/>
            </w:pPr>
            <w:r>
              <w:rPr>
                <w:rFonts w:ascii="宋体" w:hAnsi="宋体" w:hint="eastAsia"/>
                <w:b/>
                <w:szCs w:val="21"/>
              </w:rPr>
              <w:t>运行控制和关键绩效：</w:t>
            </w:r>
          </w:p>
        </w:tc>
        <w:tc>
          <w:tcPr>
            <w:tcW w:w="1400" w:type="dxa"/>
          </w:tcPr>
          <w:p w:rsidR="008A67F4" w:rsidRDefault="008A67F4">
            <w:pPr>
              <w:adjustRightInd w:val="0"/>
              <w:spacing w:line="360" w:lineRule="auto"/>
              <w:jc w:val="left"/>
            </w:pPr>
          </w:p>
        </w:tc>
      </w:tr>
      <w:tr w:rsidR="008A67F4">
        <w:trPr>
          <w:trHeight w:val="480"/>
        </w:trPr>
        <w:tc>
          <w:tcPr>
            <w:tcW w:w="675" w:type="dxa"/>
            <w:vMerge/>
          </w:tcPr>
          <w:p w:rsidR="008A67F4" w:rsidRDefault="008A67F4">
            <w:pPr>
              <w:adjustRightInd w:val="0"/>
              <w:spacing w:line="360" w:lineRule="auto"/>
              <w:jc w:val="left"/>
            </w:pPr>
          </w:p>
        </w:tc>
        <w:tc>
          <w:tcPr>
            <w:tcW w:w="12297" w:type="dxa"/>
          </w:tcPr>
          <w:p w:rsidR="008A67F4" w:rsidRDefault="008E7CC2">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Ansi="宋体" w:hint="eastAsia"/>
                <w:szCs w:val="21"/>
                <w:u w:val="single"/>
              </w:rPr>
              <w:t>GB/T 3324-2017《木家具通用技术条件》和客户要求</w:t>
            </w:r>
            <w:r>
              <w:rPr>
                <w:rFonts w:ascii="宋体"/>
                <w:u w:val="single"/>
              </w:rPr>
              <w:t xml:space="preserve">  </w:t>
            </w:r>
            <w:r>
              <w:rPr>
                <w:rFonts w:ascii="宋体" w:hAnsi="宋体"/>
                <w:u w:val="single"/>
              </w:rPr>
              <w:t xml:space="preserve">         </w:t>
            </w:r>
          </w:p>
          <w:p w:rsidR="008A67F4" w:rsidRDefault="008E7CC2">
            <w:pPr>
              <w:adjustRightInd w:val="0"/>
              <w:spacing w:line="360" w:lineRule="auto"/>
              <w:jc w:val="left"/>
              <w:rPr>
                <w:rFonts w:ascii="宋体" w:hAnsi="宋体"/>
              </w:rPr>
            </w:pPr>
            <w:r>
              <w:rPr>
                <w:rFonts w:ascii="宋体" w:hAnsi="宋体" w:hint="eastAsia"/>
              </w:rPr>
              <w:t xml:space="preserve"> </w:t>
            </w:r>
          </w:p>
          <w:p w:rsidR="008A67F4" w:rsidRDefault="008E7CC2">
            <w:pPr>
              <w:adjustRightInd w:val="0"/>
              <w:spacing w:line="360" w:lineRule="auto"/>
              <w:jc w:val="left"/>
              <w:rPr>
                <w:rFonts w:ascii="宋体" w:hAnsi="宋体"/>
              </w:rPr>
            </w:pPr>
            <w:r>
              <w:rPr>
                <w:rFonts w:ascii="宋体" w:hAnsi="宋体" w:hint="eastAsia"/>
              </w:rPr>
              <w:t>b.最终产品质量情况：</w:t>
            </w:r>
          </w:p>
          <w:p w:rsidR="008A67F4" w:rsidRDefault="008E7CC2">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8A67F4" w:rsidRDefault="008E7CC2">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8A67F4" w:rsidRDefault="008E7CC2">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8A67F4" w:rsidRDefault="008E7CC2">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8A67F4" w:rsidRDefault="008E7CC2">
            <w:pPr>
              <w:adjustRightInd w:val="0"/>
              <w:spacing w:line="360" w:lineRule="auto"/>
              <w:jc w:val="left"/>
            </w:pPr>
            <w:r>
              <w:rPr>
                <w:rFonts w:hint="eastAsia"/>
              </w:rPr>
              <w:t>ok</w:t>
            </w:r>
          </w:p>
        </w:tc>
      </w:tr>
      <w:tr w:rsidR="008A67F4">
        <w:trPr>
          <w:trHeight w:val="2519"/>
        </w:trPr>
        <w:tc>
          <w:tcPr>
            <w:tcW w:w="675" w:type="dxa"/>
            <w:vMerge/>
          </w:tcPr>
          <w:p w:rsidR="008A67F4" w:rsidRDefault="008A67F4">
            <w:pPr>
              <w:adjustRightInd w:val="0"/>
              <w:spacing w:line="360" w:lineRule="auto"/>
              <w:jc w:val="left"/>
            </w:pPr>
          </w:p>
        </w:tc>
        <w:tc>
          <w:tcPr>
            <w:tcW w:w="12297" w:type="dxa"/>
          </w:tcPr>
          <w:p w:rsidR="008A67F4" w:rsidRDefault="008E7CC2">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8A67F4" w:rsidRDefault="008E7CC2">
            <w:pPr>
              <w:adjustRightInd w:val="0"/>
              <w:spacing w:line="360" w:lineRule="auto"/>
              <w:jc w:val="left"/>
              <w:rPr>
                <w:rFonts w:ascii="宋体" w:hAnsi="宋体"/>
              </w:rPr>
            </w:pPr>
            <w:r>
              <w:rPr>
                <w:rFonts w:ascii="宋体" w:hAnsi="宋体" w:hint="eastAsia"/>
                <w:szCs w:val="21"/>
              </w:rPr>
              <w:t>a.主要污染物为：</w:t>
            </w:r>
            <w:r>
              <w:rPr>
                <w:rFonts w:ascii="宋体" w:hAnsi="宋体" w:hint="eastAsia"/>
                <w:szCs w:val="21"/>
                <w:u w:val="single"/>
              </w:rPr>
              <w:t xml:space="preserve"> </w:t>
            </w:r>
          </w:p>
          <w:p w:rsidR="008A67F4" w:rsidRDefault="008E7CC2">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 xml:space="preserve"> </w:t>
            </w:r>
          </w:p>
          <w:p w:rsidR="008A67F4" w:rsidRDefault="008E7CC2">
            <w:pPr>
              <w:adjustRightInd w:val="0"/>
              <w:spacing w:line="360" w:lineRule="auto"/>
              <w:jc w:val="left"/>
              <w:rPr>
                <w:rFonts w:ascii="宋体" w:hAnsi="宋体"/>
              </w:rPr>
            </w:pPr>
            <w:r>
              <w:rPr>
                <w:rFonts w:ascii="宋体" w:hAnsi="宋体" w:hint="eastAsia"/>
              </w:rPr>
              <w:t>--存在问题：</w:t>
            </w:r>
          </w:p>
          <w:p w:rsidR="008A67F4" w:rsidRDefault="008E7CC2">
            <w:pPr>
              <w:adjustRightInd w:val="0"/>
              <w:spacing w:line="360" w:lineRule="auto"/>
              <w:jc w:val="left"/>
              <w:rPr>
                <w:rFonts w:ascii="宋体" w:hAnsi="宋体"/>
                <w:szCs w:val="21"/>
              </w:rPr>
            </w:pPr>
            <w:r>
              <w:rPr>
                <w:rFonts w:ascii="宋体" w:hAnsi="宋体" w:hint="eastAsia"/>
                <w:szCs w:val="21"/>
                <w:u w:val="single"/>
              </w:rPr>
              <w:t xml:space="preserve"> </w:t>
            </w:r>
          </w:p>
        </w:tc>
        <w:tc>
          <w:tcPr>
            <w:tcW w:w="1400" w:type="dxa"/>
          </w:tcPr>
          <w:p w:rsidR="008A67F4" w:rsidRDefault="008E7CC2">
            <w:pPr>
              <w:adjustRightInd w:val="0"/>
              <w:spacing w:line="360" w:lineRule="auto"/>
              <w:jc w:val="left"/>
            </w:pPr>
            <w:r>
              <w:t>Ok</w:t>
            </w:r>
          </w:p>
        </w:tc>
      </w:tr>
      <w:tr w:rsidR="008A67F4">
        <w:trPr>
          <w:trHeight w:val="90"/>
        </w:trPr>
        <w:tc>
          <w:tcPr>
            <w:tcW w:w="675" w:type="dxa"/>
            <w:vMerge/>
          </w:tcPr>
          <w:p w:rsidR="008A67F4" w:rsidRDefault="008A67F4">
            <w:pPr>
              <w:adjustRightInd w:val="0"/>
              <w:spacing w:line="360" w:lineRule="auto"/>
              <w:jc w:val="left"/>
            </w:pPr>
          </w:p>
        </w:tc>
        <w:tc>
          <w:tcPr>
            <w:tcW w:w="12297" w:type="dxa"/>
          </w:tcPr>
          <w:p w:rsidR="008A67F4" w:rsidRDefault="008E7CC2">
            <w:pPr>
              <w:adjustRightInd w:val="0"/>
              <w:spacing w:line="360" w:lineRule="auto"/>
              <w:jc w:val="left"/>
              <w:rPr>
                <w:rFonts w:ascii="宋体" w:hAnsi="宋体"/>
                <w:szCs w:val="21"/>
              </w:rPr>
            </w:pPr>
            <w:r>
              <w:rPr>
                <w:rFonts w:ascii="宋体" w:hAnsi="宋体" w:hint="eastAsia"/>
                <w:szCs w:val="21"/>
              </w:rPr>
              <w:t>3、OHSMS:</w:t>
            </w:r>
          </w:p>
          <w:p w:rsidR="008A67F4" w:rsidRDefault="008E7CC2">
            <w:pPr>
              <w:adjustRightInd w:val="0"/>
              <w:spacing w:line="360" w:lineRule="auto"/>
              <w:jc w:val="left"/>
              <w:rPr>
                <w:rFonts w:ascii="宋体" w:hAnsi="宋体"/>
                <w:szCs w:val="21"/>
              </w:rPr>
            </w:pPr>
            <w:r>
              <w:rPr>
                <w:rFonts w:ascii="宋体" w:hAnsi="宋体" w:hint="eastAsia"/>
                <w:szCs w:val="21"/>
              </w:rPr>
              <w:t xml:space="preserve">a)重大危险源： </w:t>
            </w:r>
          </w:p>
          <w:p w:rsidR="008A67F4" w:rsidRDefault="008E7CC2">
            <w:pPr>
              <w:adjustRightInd w:val="0"/>
              <w:spacing w:line="360" w:lineRule="auto"/>
              <w:jc w:val="left"/>
              <w:rPr>
                <w:rFonts w:ascii="宋体" w:hAnsi="宋体"/>
                <w:szCs w:val="21"/>
              </w:rPr>
            </w:pPr>
            <w:r>
              <w:rPr>
                <w:rFonts w:ascii="宋体" w:hint="eastAsia"/>
                <w:u w:val="single"/>
              </w:rPr>
              <w:t>主要存在</w:t>
            </w:r>
            <w:r>
              <w:rPr>
                <w:rFonts w:ascii="宋体" w:hAnsi="宋体" w:hint="eastAsia"/>
                <w:u w:val="single"/>
              </w:rPr>
              <w:t>触电</w:t>
            </w:r>
            <w:r>
              <w:rPr>
                <w:rFonts w:ascii="宋体" w:hAnsi="宋体" w:hint="eastAsia"/>
                <w:szCs w:val="22"/>
                <w:u w:val="single"/>
              </w:rPr>
              <w:t>、火灾/爆炸、机械伤害、化学品中毒、粉尘、噪声</w:t>
            </w:r>
            <w:r>
              <w:rPr>
                <w:rFonts w:ascii="宋体" w:hint="eastAsia"/>
                <w:u w:val="single"/>
              </w:rPr>
              <w:t>等重大危险源</w:t>
            </w:r>
            <w:r>
              <w:rPr>
                <w:rFonts w:ascii="宋体" w:hint="eastAsia"/>
                <w:szCs w:val="21"/>
                <w:u w:val="single"/>
              </w:rPr>
              <w:t>。</w:t>
            </w:r>
          </w:p>
          <w:p w:rsidR="008A67F4" w:rsidRDefault="008E7CC2">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运行控制情况:</w:t>
            </w:r>
            <w:r>
              <w:rPr>
                <w:rFonts w:ascii="宋体" w:hint="eastAsia"/>
                <w:u w:val="single"/>
              </w:rPr>
              <w:t xml:space="preserve"> </w:t>
            </w:r>
            <w:r>
              <w:rPr>
                <w:rFonts w:ascii="宋体" w:hAnsi="宋体" w:hint="eastAsia"/>
                <w:u w:val="single"/>
              </w:rPr>
              <w:t>企业通日常检查、制定安全消防管理要求，控制重大风险的发生。</w:t>
            </w:r>
          </w:p>
          <w:p w:rsidR="008A67F4" w:rsidRDefault="008E7CC2">
            <w:pPr>
              <w:adjustRightInd w:val="0"/>
              <w:spacing w:line="360" w:lineRule="auto"/>
              <w:jc w:val="left"/>
              <w:rPr>
                <w:rFonts w:ascii="宋体" w:hAnsi="宋体"/>
                <w:szCs w:val="21"/>
              </w:rPr>
            </w:pPr>
            <w:r>
              <w:rPr>
                <w:rFonts w:ascii="宋体" w:hAnsi="宋体"/>
                <w:szCs w:val="21"/>
                <w:u w:val="single"/>
              </w:rPr>
              <w:t xml:space="preserve"> </w:t>
            </w:r>
          </w:p>
        </w:tc>
        <w:tc>
          <w:tcPr>
            <w:tcW w:w="1400" w:type="dxa"/>
          </w:tcPr>
          <w:p w:rsidR="008A67F4" w:rsidRDefault="008E7CC2">
            <w:pPr>
              <w:adjustRightInd w:val="0"/>
              <w:spacing w:line="360" w:lineRule="auto"/>
              <w:jc w:val="left"/>
            </w:pPr>
            <w:r>
              <w:t>Ok</w:t>
            </w:r>
          </w:p>
        </w:tc>
      </w:tr>
    </w:tbl>
    <w:p w:rsidR="008A67F4" w:rsidRDefault="008A67F4">
      <w:bookmarkStart w:id="1" w:name="_GoBack"/>
      <w:bookmarkEnd w:id="1"/>
    </w:p>
    <w:p w:rsidR="008A67F4" w:rsidRDefault="008E7CC2">
      <w:pPr>
        <w:pStyle w:val="a5"/>
      </w:pPr>
      <w:r>
        <w:rPr>
          <w:rFonts w:hint="eastAsia"/>
        </w:rPr>
        <w:t>说明：不符合标注</w:t>
      </w:r>
      <w:r>
        <w:rPr>
          <w:rFonts w:hint="eastAsia"/>
        </w:rPr>
        <w:t>N</w:t>
      </w:r>
    </w:p>
    <w:sectPr w:rsidR="008A67F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3C" w:rsidRDefault="0031653C">
      <w:r>
        <w:separator/>
      </w:r>
    </w:p>
  </w:endnote>
  <w:endnote w:type="continuationSeparator" w:id="0">
    <w:p w:rsidR="0031653C" w:rsidRDefault="0031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A67F4" w:rsidRDefault="008E7CC2">
            <w:pPr>
              <w:pStyle w:val="a5"/>
              <w:jc w:val="center"/>
            </w:pPr>
            <w:r>
              <w:rPr>
                <w:b/>
                <w:sz w:val="24"/>
                <w:szCs w:val="24"/>
              </w:rPr>
              <w:fldChar w:fldCharType="begin"/>
            </w:r>
            <w:r>
              <w:rPr>
                <w:b/>
              </w:rPr>
              <w:instrText>PAGE</w:instrText>
            </w:r>
            <w:r>
              <w:rPr>
                <w:b/>
                <w:sz w:val="24"/>
                <w:szCs w:val="24"/>
              </w:rPr>
              <w:fldChar w:fldCharType="separate"/>
            </w:r>
            <w:r w:rsidR="00155D89">
              <w:rPr>
                <w:b/>
                <w:noProof/>
              </w:rPr>
              <w:t>5</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155D89">
              <w:rPr>
                <w:b/>
                <w:noProof/>
              </w:rPr>
              <w:t>5</w:t>
            </w:r>
            <w:r>
              <w:rPr>
                <w:b/>
                <w:sz w:val="24"/>
                <w:szCs w:val="24"/>
              </w:rPr>
              <w:fldChar w:fldCharType="end"/>
            </w:r>
          </w:p>
        </w:sdtContent>
      </w:sdt>
    </w:sdtContent>
  </w:sdt>
  <w:p w:rsidR="008A67F4" w:rsidRDefault="008A67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3C" w:rsidRDefault="0031653C">
      <w:r>
        <w:separator/>
      </w:r>
    </w:p>
  </w:footnote>
  <w:footnote w:type="continuationSeparator" w:id="0">
    <w:p w:rsidR="0031653C" w:rsidRDefault="00316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7F4" w:rsidRDefault="008E7CC2">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A67F4" w:rsidRDefault="0081594C">
    <w:pPr>
      <w:pStyle w:val="a6"/>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8A67F4" w:rsidRDefault="008E7CC2">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8A67F4" w:rsidRDefault="008E7CC2">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8E7CC2">
      <w:rPr>
        <w:rStyle w:val="CharChar1"/>
        <w:rFonts w:hint="default"/>
        <w:w w:val="90"/>
      </w:rPr>
      <w:t xml:space="preserve">Beijing International Standard united Certification </w:t>
    </w:r>
    <w:proofErr w:type="spellStart"/>
    <w:r w:rsidR="008E7CC2">
      <w:rPr>
        <w:rStyle w:val="CharChar1"/>
        <w:rFonts w:hint="default"/>
        <w:w w:val="90"/>
      </w:rPr>
      <w:t>Co.</w:t>
    </w:r>
    <w:proofErr w:type="gramStart"/>
    <w:r w:rsidR="008E7CC2">
      <w:rPr>
        <w:rStyle w:val="CharChar1"/>
        <w:rFonts w:hint="default"/>
        <w:w w:val="90"/>
      </w:rPr>
      <w:t>,Ltd</w:t>
    </w:r>
    <w:proofErr w:type="spellEnd"/>
    <w:proofErr w:type="gramEnd"/>
    <w:r w:rsidR="008E7CC2">
      <w:rPr>
        <w:rStyle w:val="CharChar1"/>
        <w:rFonts w:hint="default"/>
        <w:w w:val="90"/>
      </w:rPr>
      <w:t>.</w:t>
    </w:r>
  </w:p>
  <w:p w:rsidR="008A67F4" w:rsidRDefault="008A67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3373A"/>
    <w:rsid w:val="000B681D"/>
    <w:rsid w:val="000C3ED3"/>
    <w:rsid w:val="00105A91"/>
    <w:rsid w:val="00155D89"/>
    <w:rsid w:val="0017552D"/>
    <w:rsid w:val="001A2D7F"/>
    <w:rsid w:val="001A7F36"/>
    <w:rsid w:val="001B046E"/>
    <w:rsid w:val="001D337D"/>
    <w:rsid w:val="001D4C22"/>
    <w:rsid w:val="001F66CC"/>
    <w:rsid w:val="00254CF6"/>
    <w:rsid w:val="002F1852"/>
    <w:rsid w:val="0031653C"/>
    <w:rsid w:val="00337922"/>
    <w:rsid w:val="00340867"/>
    <w:rsid w:val="00380837"/>
    <w:rsid w:val="003C32F3"/>
    <w:rsid w:val="003D5A07"/>
    <w:rsid w:val="00410914"/>
    <w:rsid w:val="0041320E"/>
    <w:rsid w:val="00415094"/>
    <w:rsid w:val="00415B1B"/>
    <w:rsid w:val="00451A33"/>
    <w:rsid w:val="004C0A15"/>
    <w:rsid w:val="004E2167"/>
    <w:rsid w:val="005010A9"/>
    <w:rsid w:val="005317D0"/>
    <w:rsid w:val="00535804"/>
    <w:rsid w:val="00536930"/>
    <w:rsid w:val="00564E53"/>
    <w:rsid w:val="0063008F"/>
    <w:rsid w:val="00644FE2"/>
    <w:rsid w:val="006522FC"/>
    <w:rsid w:val="0067640C"/>
    <w:rsid w:val="006C013F"/>
    <w:rsid w:val="006E678B"/>
    <w:rsid w:val="006F2303"/>
    <w:rsid w:val="006F3492"/>
    <w:rsid w:val="00704C48"/>
    <w:rsid w:val="00707079"/>
    <w:rsid w:val="00720D57"/>
    <w:rsid w:val="00767D6A"/>
    <w:rsid w:val="007757F3"/>
    <w:rsid w:val="007770E5"/>
    <w:rsid w:val="00777A1C"/>
    <w:rsid w:val="007A0A3C"/>
    <w:rsid w:val="007B6770"/>
    <w:rsid w:val="007E6AEB"/>
    <w:rsid w:val="00806119"/>
    <w:rsid w:val="0081594C"/>
    <w:rsid w:val="00824194"/>
    <w:rsid w:val="00871C15"/>
    <w:rsid w:val="008973EE"/>
    <w:rsid w:val="008A67F4"/>
    <w:rsid w:val="008C7631"/>
    <w:rsid w:val="008C7D6A"/>
    <w:rsid w:val="008E438A"/>
    <w:rsid w:val="008E7CC2"/>
    <w:rsid w:val="00963B80"/>
    <w:rsid w:val="00971600"/>
    <w:rsid w:val="00977BD1"/>
    <w:rsid w:val="00991DF1"/>
    <w:rsid w:val="009973B4"/>
    <w:rsid w:val="009D4AA2"/>
    <w:rsid w:val="009F7EED"/>
    <w:rsid w:val="00A165E5"/>
    <w:rsid w:val="00A36241"/>
    <w:rsid w:val="00A36AEB"/>
    <w:rsid w:val="00A83A12"/>
    <w:rsid w:val="00AF0AAB"/>
    <w:rsid w:val="00B258C1"/>
    <w:rsid w:val="00B372C3"/>
    <w:rsid w:val="00B76169"/>
    <w:rsid w:val="00BF597E"/>
    <w:rsid w:val="00C51A36"/>
    <w:rsid w:val="00C55228"/>
    <w:rsid w:val="00C65DCB"/>
    <w:rsid w:val="00C8266A"/>
    <w:rsid w:val="00CE315A"/>
    <w:rsid w:val="00D06F59"/>
    <w:rsid w:val="00D15479"/>
    <w:rsid w:val="00D22989"/>
    <w:rsid w:val="00D8388C"/>
    <w:rsid w:val="00D95304"/>
    <w:rsid w:val="00DA6B59"/>
    <w:rsid w:val="00DC6669"/>
    <w:rsid w:val="00DE147C"/>
    <w:rsid w:val="00E305F2"/>
    <w:rsid w:val="00EB0164"/>
    <w:rsid w:val="00ED0F62"/>
    <w:rsid w:val="00ED624B"/>
    <w:rsid w:val="00F71ED3"/>
    <w:rsid w:val="0239372B"/>
    <w:rsid w:val="07960327"/>
    <w:rsid w:val="108219C2"/>
    <w:rsid w:val="19142F08"/>
    <w:rsid w:val="23A04E08"/>
    <w:rsid w:val="244D0DB9"/>
    <w:rsid w:val="24637D46"/>
    <w:rsid w:val="2DAC7FB2"/>
    <w:rsid w:val="36C0247F"/>
    <w:rsid w:val="49240F79"/>
    <w:rsid w:val="4A696F93"/>
    <w:rsid w:val="5DEF5031"/>
    <w:rsid w:val="5EA12B9A"/>
    <w:rsid w:val="6A6C18BC"/>
    <w:rsid w:val="6C993DEF"/>
    <w:rsid w:val="78300F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cp:revision>
  <cp:lastPrinted>2019-06-14T02:57:00Z</cp:lastPrinted>
  <dcterms:created xsi:type="dcterms:W3CDTF">2020-10-12T17:06:00Z</dcterms:created>
  <dcterms:modified xsi:type="dcterms:W3CDTF">2020-10-12T17:12:00Z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