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江西川禾后勤保障产业发展有限公司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黄童彤、牛晓光、朱宗磊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890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