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苏州大驰精密模具有限公司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21665-2025-O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常熟市支塘镇孟泾路3号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常熟市支塘镇孟泾路3号厂房</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陈方林</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13862046915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1197005778@qq.com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2025年11月21日 08:30至2025年11月21日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O:五金冲压件加工及金属模具制造所涉及场所的相关职业健康安全管理活动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17.09.00,17.11.03</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张丽杰</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2025-N1OHSMS-1365916</w:t>
            </w:r>
          </w:p>
        </w:tc>
        <w:tc>
          <w:tcPr>
            <w:tcW w:w="3684" w:type="dxa"/>
            <w:gridSpan w:val="9"/>
            <w:vAlign w:val="center"/>
          </w:tcPr>
          <w:p w14:paraId="69711AD9">
            <w:pPr>
              <w:jc w:val="center"/>
              <w:rPr>
                <w:sz w:val="21"/>
                <w:szCs w:val="21"/>
              </w:rPr>
            </w:pPr>
            <w:r>
              <w:t>17.09.00,17.11.03</w:t>
            </w:r>
          </w:p>
        </w:tc>
        <w:tc>
          <w:tcPr>
            <w:tcW w:w="1560" w:type="dxa"/>
            <w:gridSpan w:val="2"/>
            <w:vAlign w:val="center"/>
          </w:tcPr>
          <w:p w14:paraId="27CBF787">
            <w:pPr>
              <w:jc w:val="center"/>
              <w:rPr>
                <w:sz w:val="21"/>
                <w:szCs w:val="21"/>
              </w:rPr>
            </w:pPr>
            <w:r>
              <w:t>13816297430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2025-11-15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862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张丽杰</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447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