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重庆起跑线品牌管理有限公司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重庆市梁平区双桂街道梁平工业园区科技企业孵化园1栋C区第4层负2号标准厂房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吕朝坤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13628321989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113827780@qq.com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09:00至2025年08月14日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E:服装(校服、职业装、运动服、军训服、工作服)的设计，生产所涉及场所的相关环境管理活动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Q:服装(校服、职业装、运动服、军训服、工作服)的设计，生产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O:服装(校服、职业装、运动服、军训服、工作服)的设计，生产所涉及场所的相关职业健康安全管理活动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E:04.05.02,04.05.03,Q:04.05.02,04.05.03,O:04.05.02,04.05.03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黄钰婷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50010219961231122X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18725695345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806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36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