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978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四川省衡信环保技术有限公司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颜晔</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颜晔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576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颜晔</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2023-N1EMS-3096265</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颜晔</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2025-N1QMS-5096265</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颜晔</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2023-N1OHSMS-5096265</w:t>
            </w:r>
          </w:p>
        </w:tc>
        <w:tc>
          <w:tcPr>
            <w:tcW w:w="3145" w:type="dxa"/>
            <w:vAlign w:val="center"/>
          </w:tcPr>
          <w:p w14:paraId="591646C4">
            <w:pPr>
              <w:spacing w:line="360" w:lineRule="auto"/>
              <w:jc w:val="left"/>
              <w:rPr>
                <w:rFonts w:asciiTheme="minorEastAsia" w:eastAsiaTheme="minorEastAsia" w:hAnsiTheme="minorEastAsia"/>
              </w:rPr>
            </w:pPr>
            <w:r>
              <w:t>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2026年01月21日上午至2026年01月21日下午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2026年01月21日上午至2026年01月21日下午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298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