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20769-2025-QEO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湖南金企文化科技有限公司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王邦权</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91430100MA4L51QP3N</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湖南金企文化科技有限公司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长沙经济技术开发区人民东路中部智谷产业园189号8栋1502房</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长沙经济技术开发区人民东路中部智谷产业园189号8栋1502房</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E:金银制品（金银纪念章、金银摆件、金银饰品）、箱包、工艺美术品（象牙及其制品除外）销售所涉及场所的相关环境管理活动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Q:金银制品（金银纪念章、金银摆件、金银饰品）、箱包、工艺美术品（象牙及其制品除外）销售</w:t>
            </w:r>
          </w:p>
          <w:p>
            <w:pPr>
              <w:snapToGrid w:val="0"/>
              <w:spacing w:line="0" w:lineRule="atLeast"/>
              <w:jc w:val="left"/>
              <w:rPr>
                <w:rFonts w:hint="eastAsia"/>
                <w:sz w:val="21"/>
                <w:szCs w:val="21"/>
                <w:lang w:val="en-GB"/>
              </w:rPr>
            </w:pPr>
            <w:r>
              <w:rPr>
                <w:rFonts w:hint="eastAsia"/>
                <w:sz w:val="21"/>
                <w:szCs w:val="21"/>
                <w:lang w:val="en-GB"/>
              </w:rPr>
              <w:t>O:金银制品（金银纪念章、金银摆件、金银饰品）、箱包、工艺美术品（象牙及其制品除外）销售所涉及场所的相关职业健康安全管理活动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湖南金企文化科技有限公司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长沙经济技术开发区人民东路中部智谷产业园189号8栋1502房</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长沙经济技术开发区人民东路中部智谷产业园189号8栋1502房</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E:金银制品（金银纪念章、金银摆件、金银饰品）、箱包、工艺美术品（象牙及其制品除外）销售所涉及场所的相关环境管理活动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Q:金银制品（金银纪念章、金银摆件、金银饰品）、箱包、工艺美术品（象牙及其制品除外）销售</w:t>
            </w:r>
          </w:p>
          <w:p>
            <w:pPr>
              <w:snapToGrid w:val="0"/>
              <w:spacing w:line="0" w:lineRule="atLeast"/>
              <w:jc w:val="left"/>
              <w:rPr>
                <w:rFonts w:hint="eastAsia"/>
                <w:sz w:val="21"/>
                <w:szCs w:val="21"/>
                <w:lang w:val="en-GB"/>
              </w:rPr>
            </w:pPr>
            <w:r>
              <w:rPr>
                <w:rFonts w:hint="eastAsia"/>
                <w:sz w:val="21"/>
                <w:szCs w:val="21"/>
                <w:lang w:val="en-GB"/>
              </w:rPr>
              <w:t>O:金银制品（金银纪念章、金银摆件、金银饰品）、箱包、工艺美术品（象牙及其制品除外）销售所涉及场所的相关职业健康安全管理活动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598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