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重庆渝庚建筑工程有限公司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20782-2025-EcEO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重庆市城口县葛城街道文化路26号附3号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重庆市万州区长江之星c9栋713</w:t>
            </w:r>
          </w:p>
          <w:p w14:paraId="322509B6">
            <w:pPr>
              <w:snapToGrid w:val="0"/>
              <w:spacing w:line="0" w:lineRule="atLeast"/>
              <w:jc w:val="left"/>
            </w:pPr>
            <w:r>
              <w:rPr>
                <w:rFonts w:hint="eastAsia"/>
                <w:sz w:val="21"/>
                <w:szCs w:val="21"/>
              </w:rPr>
              <w:t>中煤广元燃煤发电项目2x1000MIY超超临界机组新建工程 四川省广元市利州区宝轮镇清江村中煤广元燃煤发电项目</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李湘</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15923400827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14</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1013216109@qq.com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2025年06月05日 08:30至2025年06月05日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Q:资质范围内的建筑工程施工总承包</w:t>
            </w:r>
          </w:p>
          <w:p>
            <w:pPr>
              <w:tabs>
                <w:tab w:val="left" w:pos="0"/>
              </w:tabs>
              <w:jc w:val="left"/>
              <w:rPr>
                <w:rFonts w:hint="eastAsia"/>
                <w:sz w:val="21"/>
                <w:szCs w:val="21"/>
              </w:rPr>
            </w:pPr>
            <w:r>
              <w:rPr>
                <w:rFonts w:hint="eastAsia"/>
                <w:sz w:val="21"/>
                <w:szCs w:val="21"/>
              </w:rPr>
              <w:t>E:资质范围内的建筑工程施工总承包所涉及场所的相关环境管理活动</w:t>
            </w:r>
          </w:p>
          <w:p>
            <w:pPr>
              <w:tabs>
                <w:tab w:val="left" w:pos="0"/>
              </w:tabs>
              <w:jc w:val="left"/>
              <w:rPr>
                <w:rFonts w:hint="eastAsia"/>
                <w:sz w:val="21"/>
                <w:szCs w:val="21"/>
              </w:rPr>
            </w:pPr>
            <w:r>
              <w:rPr>
                <w:rFonts w:hint="eastAsia"/>
                <w:sz w:val="21"/>
                <w:szCs w:val="21"/>
              </w:rPr>
              <w:t>O:资质范围内的建筑工程施工总承包所涉及场所的相关职业健康安全管理活动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EC:28.02.00,E:28.02.00,O:28.02.00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明利红</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2023-N1QMS-4093634</w:t>
            </w:r>
          </w:p>
        </w:tc>
        <w:tc>
          <w:tcPr>
            <w:tcW w:w="3684" w:type="dxa"/>
            <w:gridSpan w:val="9"/>
            <w:vAlign w:val="center"/>
          </w:tcPr>
          <w:p w14:paraId="69711AD9">
            <w:pPr>
              <w:jc w:val="center"/>
              <w:rPr>
                <w:sz w:val="21"/>
                <w:szCs w:val="21"/>
              </w:rPr>
            </w:pPr>
            <w:r>
              <w:t>28.02.00</w:t>
            </w:r>
          </w:p>
        </w:tc>
        <w:tc>
          <w:tcPr>
            <w:tcW w:w="1560" w:type="dxa"/>
            <w:gridSpan w:val="2"/>
            <w:vAlign w:val="center"/>
          </w:tcPr>
          <w:p w14:paraId="27CBF787">
            <w:pPr>
              <w:jc w:val="center"/>
              <w:rPr>
                <w:sz w:val="21"/>
                <w:szCs w:val="21"/>
              </w:rP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2024-N1EMS-4093634</w:t>
            </w:r>
          </w:p>
        </w:tc>
        <w:tc>
          <w:tcPr>
            <w:tcW w:w="3684" w:type="dxa"/>
            <w:gridSpan w:val="9"/>
            <w:vAlign w:val="center"/>
          </w:tcPr>
          <w:p>
            <w:pPr>
              <w:jc w:val="center"/>
            </w:pPr>
            <w:r>
              <w:t>28.02.00</w:t>
            </w:r>
          </w:p>
        </w:tc>
        <w:tc>
          <w:tcPr>
            <w:tcW w:w="1560" w:type="dxa"/>
            <w:gridSpan w:val="2"/>
            <w:vAlign w:val="center"/>
          </w:tcPr>
          <w:p>
            <w:pPr>
              <w:jc w:val="cente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2025-N1OHSMS-4093634</w:t>
            </w:r>
          </w:p>
        </w:tc>
        <w:tc>
          <w:tcPr>
            <w:tcW w:w="3684" w:type="dxa"/>
            <w:gridSpan w:val="9"/>
            <w:vAlign w:val="center"/>
          </w:tcPr>
          <w:p>
            <w:pPr>
              <w:jc w:val="center"/>
            </w:pPr>
            <w:r>
              <w:t>28.02.00</w:t>
            </w:r>
          </w:p>
        </w:tc>
        <w:tc>
          <w:tcPr>
            <w:tcW w:w="1560" w:type="dxa"/>
            <w:gridSpan w:val="2"/>
            <w:vAlign w:val="center"/>
          </w:tcPr>
          <w:p>
            <w:pPr>
              <w:jc w:val="center"/>
            </w:pPr>
            <w:r>
              <w:t>13368090815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4715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明利红</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561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