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 w:ascii="宋体" w:hAnsi="宋体"/>
                <w:szCs w:val="21"/>
              </w:rPr>
              <w:t>管理层、行政部、生产部、市场部、质检部、财务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总经理：</w:t>
            </w:r>
            <w:r>
              <w:rPr>
                <w:rFonts w:hint="eastAsia" w:ascii="宋体" w:hAnsi="宋体"/>
                <w:szCs w:val="21"/>
              </w:rPr>
              <w:t>邓卓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 xml:space="preserve"> 管代：</w:t>
            </w:r>
            <w:r>
              <w:rPr>
                <w:rFonts w:hint="eastAsia" w:ascii="宋体" w:hAnsi="宋体"/>
                <w:szCs w:val="21"/>
              </w:rPr>
              <w:t>邓新立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员工代表：</w:t>
            </w:r>
            <w:r>
              <w:rPr>
                <w:rFonts w:hint="eastAsia" w:ascii="宋体" w:hAnsi="宋体"/>
                <w:szCs w:val="21"/>
              </w:rPr>
              <w:t>刘一军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李京田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殷建雄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2019.8.28-29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地址（包括注册地址、生产/经营地址）、多场所地址等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>
            <w:pPr>
              <w:pStyle w:val="9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执行的排污标准（EMS）顾客及相关方投诉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环境相关监测报告（EMS、OHS）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环保、安全设施（EMS、OHS）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环保\安全监测设备（EMS、OHS）</w:t>
            </w:r>
          </w:p>
          <w:p/>
          <w:p/>
          <w:p/>
          <w:p>
            <w:pPr>
              <w:spacing w:line="4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现场</w:t>
            </w:r>
            <w:r>
              <w:rPr>
                <w:rFonts w:hint="eastAsia"/>
                <w:szCs w:val="21"/>
                <w:lang w:val="en-US" w:eastAsia="zh-CN"/>
              </w:rPr>
              <w:t>情况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pStyle w:val="9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株洲旭阳机电科技开发有限公司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，成立于2002-07-09 - 2027-07-08，企业信用代码9143020074060554XT,注册资本为5000万元的有限责任公司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，注册地址：湖南省株洲市天元区栗雨工业园45区，经营范围：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铁路机车车辆及动车组、轨道交通车辆、冶金专用设备、隧道施工装备的制造；铁路机车车辆配件、铁路专用设备及器材、配件制造；起重机制造、销售；起重设备安装服务；机械设备租赁；机电产品销售和进出口业务；电线、电缆销售；上述产品的技术咨询、转让及服务；轨道交通车辆的销售；计算机、办公设备和专用设备维修；机电设备的维修及保养服务；轨道交通机车、车辆及设备维修、保养；人工智能设备的研发、销售及技术服务；软件开发；软件技术服务；电子技术服务；信息系统集成服务；计算机网络平台的建设与开发；计算机检测控制系统的研发、服务、生产。（依法须经批准的项目，经相关部门批准后方可开展经营活动）。公司的主要客户群为全国各地的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铁路施工单位，国企、央企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；公司采用总经理负责制，层层把关，让用户真正放心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现场见到营业执照，见附件。</w:t>
            </w:r>
          </w:p>
          <w:p>
            <w:pP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管理手册，</w:t>
            </w:r>
            <w:r>
              <w:rPr>
                <w:rFonts w:hint="eastAsia" w:ascii="楷体_GB2312" w:eastAsia="楷体_GB2312"/>
                <w:color w:val="000000" w:themeColor="text1"/>
                <w:sz w:val="28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实施、发布日期：</w:t>
            </w:r>
            <w:r>
              <w:rPr>
                <w:rFonts w:hint="eastAsia"/>
                <w:lang w:val="en-US" w:eastAsia="zh-CN"/>
              </w:rPr>
              <w:t>2019.1.20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；因</w:t>
            </w:r>
            <w:r>
              <w:rPr>
                <w:rFonts w:hint="eastAsia" w:ascii="宋体" w:hAnsi="宋体"/>
                <w:szCs w:val="21"/>
              </w:rPr>
              <w:t>铁路专用设备、铁路大型养路机械配套转向架、轨道交通车辆的生产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，服务模式较为成熟有效，现场查看，</w:t>
            </w:r>
          </w:p>
          <w:p>
            <w:pPr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生产地址1：</w:t>
            </w:r>
            <w:bookmarkStart w:id="0" w:name="生产地址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湖南省株洲市高新技术产业开发区栗雨工业园四十五区</w:t>
            </w:r>
            <w:bookmarkEnd w:id="0"/>
            <w:r>
              <w:rPr>
                <w:rFonts w:hint="eastAsia"/>
                <w:b/>
                <w:color w:val="FF000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面积：14000平米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， 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库房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，库房面积：600平米</w:t>
            </w:r>
          </w:p>
          <w:p>
            <w:pPr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生产地址2：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湖南省株洲市株洲高新技术产业开发区新马工业园九十三区，面积：28600平米，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办公区面积约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1200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平米， 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库房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，库房面积：540平米</w:t>
            </w:r>
          </w:p>
          <w:p>
            <w:pP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现场确认范围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bookmarkStart w:id="1" w:name="审核范围"/>
            <w:r>
              <w:rPr>
                <w:rFonts w:hint="eastAsia" w:ascii="宋体" w:hAnsi="宋体"/>
                <w:szCs w:val="21"/>
              </w:rPr>
              <w:t>E：铁路专用设备、铁路大型养路机械配套转向架、轨道交通车辆的生产及相关环境管理活动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O：铁路专用设备、铁路大型养路机械配套转向架、轨道交通车辆的生产及相关职业健康安全管理活动</w:t>
            </w:r>
            <w:bookmarkEnd w:id="1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</w:t>
            </w:r>
            <w:r>
              <w:rPr>
                <w:rFonts w:hint="eastAsia" w:ascii="宋体" w:hAnsi="宋体"/>
                <w:szCs w:val="21"/>
              </w:rPr>
              <w:t>管理层、行政部、生产部、市场部、质检部、财务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华文中宋" w:hAnsi="华文中宋" w:eastAsia="华文中宋" w:cs="宋体"/>
                <w:b/>
                <w:color w:val="000000"/>
                <w:szCs w:val="21"/>
                <w:lang w:val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Cs w:val="21"/>
                <w:lang w:val="zh-CN"/>
              </w:rPr>
              <w:t xml:space="preserve"> 产品实现流程：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大型工程机械装备、铁路大型养路机械配套转向架：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营销签订合同、项目部下发计划、制定工艺行程、原材料采购、外购件采购、生产部排产、下料、铆焊、检查、热处理、机加、检查、制动组装、油漆、整机检查、标识、出厂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轨道交通车辆 的生产：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营销签订合同、项目部下发计划、制定工艺行程、原材料采购、外购件采购、生产部排产、下料、铆焊（或机加）、部件组装、油漆、总装、检验、电器安装、整机调试、标识、出厂</w:t>
            </w:r>
          </w:p>
          <w:p>
            <w:pPr>
              <w:rPr>
                <w:rFonts w:hint="eastAsia" w:ascii="宋体" w:hAnsi="宋体"/>
                <w:szCs w:val="21"/>
                <w:lang w:val="zh-CN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供《适用的法律法规清单》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lang w:eastAsia="zh-CN"/>
              </w:rPr>
              <w:t>法律法规识别，未识别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全面</w:t>
            </w:r>
            <w:r>
              <w:rPr>
                <w:rFonts w:hint="eastAsia"/>
                <w:color w:val="FF0000"/>
                <w:sz w:val="24"/>
                <w:lang w:eastAsia="zh-CN"/>
              </w:rPr>
              <w:t>：湖南省安全生产条例及湖南省应急预案管理办法”等相关规定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未识别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lang w:eastAsia="zh-CN"/>
              </w:rPr>
              <w:t>不符合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提供有</w:t>
            </w:r>
            <w:r>
              <w:rPr>
                <w:rFonts w:hint="eastAsia"/>
                <w:color w:val="auto"/>
                <w:szCs w:val="21"/>
              </w:rPr>
              <w:t>环评报告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环境检测报告等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相关方投诉情况：无。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auto"/>
                <w:sz w:val="24"/>
                <w:szCs w:val="24"/>
                <w:u w:val="single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auto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公司的质量、环境和职业健康安全的方针：</w:t>
            </w:r>
          </w:p>
          <w:p>
            <w:pPr>
              <w:spacing w:line="440" w:lineRule="exac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/>
                <w:color w:val="auto"/>
                <w:sz w:val="24"/>
                <w:szCs w:val="24"/>
              </w:rPr>
              <w:t>方针是：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守法诚信追求精品，预防污染保护环境；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关爱员工健康安全，持续改进追求卓越。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制定了本公司的环境和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职业健康</w:t>
            </w:r>
            <w:r>
              <w:rPr>
                <w:rFonts w:hint="eastAsia"/>
                <w:color w:val="auto"/>
                <w:sz w:val="24"/>
                <w:szCs w:val="24"/>
              </w:rPr>
              <w:t>安全的目标为：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环境目标：1）固体废弃物100%分类，合理处理；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2）环境污染事故发生率为零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职业健康安全目标和指标：1）各类重伤轻伤事故发生率为零；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2）火灾事故发生率为零。</w:t>
            </w:r>
          </w:p>
          <w:p>
            <w:pPr>
              <w:pStyle w:val="9"/>
              <w:rPr>
                <w:rFonts w:hint="default"/>
                <w:spacing w:val="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pStyle w:val="9"/>
              <w:rPr>
                <w:rFonts w:hint="default"/>
                <w:spacing w:val="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提供了本公司的环境和安全管理方案和控制措施，有编制人、审批人签字，二阶段进行进一步关注</w:t>
            </w:r>
          </w:p>
          <w:p/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="DFKai-SB" w:hAnsi="DFKai-SB"/>
                <w:sz w:val="24"/>
              </w:rPr>
              <w:t>2019年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4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13</w:t>
            </w:r>
            <w:r>
              <w:rPr>
                <w:rFonts w:hint="eastAsia" w:ascii="DFKai-SB" w:hAnsi="DFKai-SB"/>
                <w:sz w:val="24"/>
              </w:rPr>
              <w:t>日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对适用的法律法规符合性进行了评价，提供了201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年合规性评价记录。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无需环境、职业健康安全相关监测报告（EMS、OHS）。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提供了“重要环境因素清单”</w:t>
            </w:r>
          </w:p>
          <w:p>
            <w:r>
              <w:rPr>
                <w:rFonts w:hint="eastAsia"/>
              </w:rPr>
              <w:t>1.固体废弃物</w:t>
            </w:r>
          </w:p>
          <w:p>
            <w:r>
              <w:rPr>
                <w:rFonts w:hint="eastAsia"/>
              </w:rPr>
              <w:t>2.火灾</w:t>
            </w:r>
          </w:p>
          <w:p>
            <w:r>
              <w:rPr>
                <w:rFonts w:hint="eastAsia"/>
              </w:rPr>
              <w:t>提供了“不可接受风险清单”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潜在火灾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触电</w:t>
            </w:r>
          </w:p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3机械伤害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4、职业病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5、起重伤害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审核时间：2019年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月10日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进行一次内审，提供了内审计划、内审记录、不符合报告、内审报告等，发现了1项不符合项，具体内容，二阶段进一步审核。</w:t>
            </w:r>
          </w:p>
          <w:p>
            <w:pPr>
              <w:pStyle w:val="9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2019年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日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特种设备</w:t>
            </w:r>
            <w:r>
              <w:rPr>
                <w:rFonts w:hint="eastAsia"/>
                <w:szCs w:val="21"/>
                <w:lang w:val="en-US" w:eastAsia="zh-CN"/>
              </w:rPr>
              <w:t>有行车（提供有行车的检验报告）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移动式排风设施、垃圾桶等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  万用表</w:t>
            </w: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经询问，</w:t>
            </w:r>
            <w:bookmarkStart w:id="2" w:name="组织名称"/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株洲旭阳机电科技开发有限公司</w:t>
            </w:r>
            <w:bookmarkEnd w:id="2"/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，成立于20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02-07-09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，注册资本为5000万元的有限责任公司，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提供有营业执照。</w:t>
            </w:r>
            <w:bookmarkStart w:id="3" w:name="_GoBack"/>
            <w:bookmarkEnd w:id="3"/>
          </w:p>
          <w:p>
            <w:pPr>
              <w:jc w:val="both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经查看，</w:t>
            </w:r>
          </w:p>
          <w:p>
            <w:pPr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生产地址1：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湖南省株洲市高新技术产业开发区栗雨工业园四十五区</w:t>
            </w:r>
            <w:r>
              <w:rPr>
                <w:rFonts w:hint="eastAsia"/>
                <w:b/>
                <w:color w:val="FF000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面积：14000平米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， 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库房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，库房面积：600平米</w:t>
            </w:r>
          </w:p>
          <w:p>
            <w:pPr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生产地址2：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湖南省株洲市株洲高新技术产业开发区新马工业园九十三区，面积：28600平米，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办公区面积约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1200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平米， 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库房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，库房面积：540平米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两厂房距离5公里，车程10分钟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生产场所均配有有环保及消费设施，二阶段具体审核</w:t>
            </w:r>
          </w:p>
          <w:p>
            <w:pPr>
              <w:pStyle w:val="9"/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结论：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具备二阶段审核的条件</w:t>
            </w:r>
          </w:p>
          <w:p/>
        </w:tc>
        <w:tc>
          <w:tcPr>
            <w:tcW w:w="1585" w:type="dxa"/>
          </w:tcPr>
          <w:p/>
        </w:tc>
      </w:tr>
    </w:tbl>
    <w:p>
      <w:pPr>
        <w:rPr>
          <w:rFonts w:hint="eastAsia"/>
        </w:rPr>
      </w:pPr>
      <w:r>
        <w:ptab w:relativeTo="margin" w:alignment="center" w:leader="none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35A9"/>
    <w:multiLevelType w:val="singleLevel"/>
    <w:tmpl w:val="335235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A2D7F"/>
    <w:rsid w:val="00337922"/>
    <w:rsid w:val="00340867"/>
    <w:rsid w:val="00380837"/>
    <w:rsid w:val="00410914"/>
    <w:rsid w:val="00536930"/>
    <w:rsid w:val="00564E53"/>
    <w:rsid w:val="00644FE2"/>
    <w:rsid w:val="0067640C"/>
    <w:rsid w:val="006A24C0"/>
    <w:rsid w:val="006E678B"/>
    <w:rsid w:val="007757F3"/>
    <w:rsid w:val="007E6AEB"/>
    <w:rsid w:val="008973EE"/>
    <w:rsid w:val="00971600"/>
    <w:rsid w:val="009973B4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1C73711"/>
    <w:rsid w:val="01FC5F1A"/>
    <w:rsid w:val="068663CE"/>
    <w:rsid w:val="09C23348"/>
    <w:rsid w:val="0B52157F"/>
    <w:rsid w:val="0E7D7958"/>
    <w:rsid w:val="108219C2"/>
    <w:rsid w:val="141336D4"/>
    <w:rsid w:val="23601E27"/>
    <w:rsid w:val="26EE794F"/>
    <w:rsid w:val="28CC7865"/>
    <w:rsid w:val="30015464"/>
    <w:rsid w:val="30595FC9"/>
    <w:rsid w:val="330A6E3C"/>
    <w:rsid w:val="36895001"/>
    <w:rsid w:val="3CDE21F3"/>
    <w:rsid w:val="49E1633E"/>
    <w:rsid w:val="4B7D1A73"/>
    <w:rsid w:val="4CA0716B"/>
    <w:rsid w:val="4DA40D17"/>
    <w:rsid w:val="54FE7770"/>
    <w:rsid w:val="55C6172B"/>
    <w:rsid w:val="5DC03935"/>
    <w:rsid w:val="5EA12B9A"/>
    <w:rsid w:val="5F5F2106"/>
    <w:rsid w:val="6B610596"/>
    <w:rsid w:val="6C96136B"/>
    <w:rsid w:val="6CD46965"/>
    <w:rsid w:val="6EB32D74"/>
    <w:rsid w:val="79FB5144"/>
    <w:rsid w:val="7A3D0FAD"/>
    <w:rsid w:val="7B814488"/>
    <w:rsid w:val="7E271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tanha</cp:lastModifiedBy>
  <dcterms:modified xsi:type="dcterms:W3CDTF">2019-09-06T05:08:43Z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