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sym w:font="Wingdings 2" w:char="00A3"/>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Ind w:w="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113"/>
        <w:gridCol w:w="417"/>
        <w:gridCol w:w="899"/>
        <w:gridCol w:w="1896"/>
        <w:gridCol w:w="1166"/>
        <w:gridCol w:w="1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0" w:name="组织名称"/>
            <w:r>
              <w:rPr>
                <w:b/>
                <w:sz w:val="20"/>
              </w:rPr>
              <w:t>株洲旭阳机电科技开发有限公司</w:t>
            </w:r>
            <w:bookmarkEnd w:id="0"/>
          </w:p>
        </w:tc>
        <w:tc>
          <w:tcPr>
            <w:tcW w:w="1166"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933" w:type="dxa"/>
            <w:vAlign w:val="center"/>
          </w:tcPr>
          <w:p>
            <w:pPr>
              <w:snapToGrid w:val="0"/>
              <w:spacing w:line="280" w:lineRule="exact"/>
              <w:ind w:left="52"/>
              <w:jc w:val="center"/>
              <w:rPr>
                <w:b/>
                <w:sz w:val="20"/>
              </w:rPr>
            </w:pPr>
            <w:bookmarkStart w:id="1" w:name="专业代码"/>
            <w:r>
              <w:rPr>
                <w:b/>
                <w:sz w:val="20"/>
              </w:rPr>
              <w:t>E：18.05.07;22.04.00</w:t>
            </w:r>
          </w:p>
          <w:p>
            <w:pPr>
              <w:snapToGrid w:val="0"/>
              <w:spacing w:line="280" w:lineRule="exact"/>
              <w:ind w:left="52"/>
              <w:jc w:val="center"/>
              <w:rPr>
                <w:b/>
                <w:sz w:val="20"/>
              </w:rPr>
            </w:pPr>
            <w:r>
              <w:rPr>
                <w:b/>
                <w:sz w:val="20"/>
              </w:rPr>
              <w:t>O：18.05.07;22.04.00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殷建雄</w:t>
            </w:r>
          </w:p>
        </w:tc>
        <w:tc>
          <w:tcPr>
            <w:tcW w:w="899" w:type="dxa"/>
            <w:vAlign w:val="center"/>
          </w:tcPr>
          <w:p>
            <w:pPr>
              <w:snapToGrid w:val="0"/>
              <w:spacing w:line="280" w:lineRule="exact"/>
              <w:jc w:val="center"/>
              <w:rPr>
                <w:b/>
                <w:sz w:val="22"/>
                <w:szCs w:val="22"/>
              </w:rPr>
            </w:pPr>
            <w:r>
              <w:rPr>
                <w:rFonts w:hint="eastAsia"/>
                <w:b/>
                <w:sz w:val="22"/>
                <w:szCs w:val="22"/>
              </w:rPr>
              <w:t>专业</w:t>
            </w:r>
          </w:p>
        </w:tc>
        <w:tc>
          <w:tcPr>
            <w:tcW w:w="1896" w:type="dxa"/>
            <w:vAlign w:val="center"/>
          </w:tcPr>
          <w:p>
            <w:pPr>
              <w:snapToGrid w:val="0"/>
              <w:spacing w:line="280" w:lineRule="exact"/>
              <w:ind w:left="52"/>
              <w:jc w:val="center"/>
              <w:rPr>
                <w:b/>
                <w:sz w:val="20"/>
              </w:rPr>
            </w:pPr>
            <w:r>
              <w:rPr>
                <w:b/>
                <w:sz w:val="20"/>
              </w:rPr>
              <w:t>E：18.05.07;22.04.00</w:t>
            </w:r>
          </w:p>
          <w:p>
            <w:pPr>
              <w:snapToGrid w:val="0"/>
              <w:spacing w:line="280" w:lineRule="exact"/>
              <w:jc w:val="center"/>
              <w:rPr>
                <w:b/>
                <w:sz w:val="20"/>
              </w:rPr>
            </w:pPr>
            <w:r>
              <w:rPr>
                <w:b/>
                <w:sz w:val="20"/>
              </w:rPr>
              <w:t>O：18.05.07;22.04.00</w:t>
            </w:r>
          </w:p>
        </w:tc>
        <w:tc>
          <w:tcPr>
            <w:tcW w:w="1166" w:type="dxa"/>
            <w:vAlign w:val="center"/>
          </w:tcPr>
          <w:p>
            <w:pPr>
              <w:snapToGrid w:val="0"/>
              <w:spacing w:line="280" w:lineRule="exact"/>
              <w:jc w:val="center"/>
              <w:rPr>
                <w:b/>
                <w:sz w:val="22"/>
                <w:szCs w:val="22"/>
              </w:rPr>
            </w:pPr>
            <w:r>
              <w:rPr>
                <w:rFonts w:hint="eastAsia"/>
                <w:b/>
                <w:sz w:val="22"/>
                <w:szCs w:val="22"/>
              </w:rPr>
              <w:t>培训地点</w:t>
            </w:r>
          </w:p>
        </w:tc>
        <w:tc>
          <w:tcPr>
            <w:tcW w:w="1933"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2113" w:type="dxa"/>
            <w:vAlign w:val="center"/>
          </w:tcPr>
          <w:p>
            <w:pPr>
              <w:snapToGrid w:val="0"/>
              <w:spacing w:line="360" w:lineRule="exact"/>
              <w:jc w:val="center"/>
              <w:rPr>
                <w:b/>
                <w:sz w:val="20"/>
              </w:rPr>
            </w:pPr>
            <w:r>
              <w:rPr>
                <w:rFonts w:hint="eastAsia"/>
                <w:sz w:val="18"/>
                <w:szCs w:val="18"/>
              </w:rPr>
              <w:t>李京田</w:t>
            </w:r>
          </w:p>
        </w:tc>
        <w:tc>
          <w:tcPr>
            <w:tcW w:w="417" w:type="dxa"/>
            <w:vAlign w:val="center"/>
          </w:tcPr>
          <w:p>
            <w:pPr>
              <w:snapToGrid w:val="0"/>
              <w:spacing w:line="360" w:lineRule="exact"/>
              <w:jc w:val="center"/>
              <w:rPr>
                <w:b/>
                <w:sz w:val="20"/>
              </w:rPr>
            </w:pPr>
          </w:p>
        </w:tc>
        <w:tc>
          <w:tcPr>
            <w:tcW w:w="899" w:type="dxa"/>
            <w:vAlign w:val="center"/>
          </w:tcPr>
          <w:p>
            <w:pPr>
              <w:snapToGrid w:val="0"/>
              <w:spacing w:line="360" w:lineRule="exact"/>
              <w:jc w:val="center"/>
              <w:rPr>
                <w:b/>
                <w:sz w:val="20"/>
              </w:rPr>
            </w:pPr>
          </w:p>
        </w:tc>
        <w:tc>
          <w:tcPr>
            <w:tcW w:w="1896" w:type="dxa"/>
            <w:vAlign w:val="center"/>
          </w:tcPr>
          <w:p>
            <w:pPr>
              <w:snapToGrid w:val="0"/>
              <w:spacing w:line="360" w:lineRule="exact"/>
              <w:jc w:val="center"/>
              <w:rPr>
                <w:b/>
                <w:sz w:val="20"/>
              </w:rPr>
            </w:pP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2113" w:type="dxa"/>
            <w:vAlign w:val="center"/>
          </w:tcPr>
          <w:p>
            <w:pPr>
              <w:snapToGrid w:val="0"/>
              <w:spacing w:line="280" w:lineRule="exact"/>
              <w:ind w:left="52"/>
              <w:jc w:val="center"/>
              <w:rPr>
                <w:b/>
                <w:sz w:val="20"/>
              </w:rPr>
            </w:pPr>
            <w:r>
              <w:rPr>
                <w:b/>
                <w:sz w:val="20"/>
              </w:rPr>
              <w:t>E：18.05.07;22.04.00</w:t>
            </w:r>
          </w:p>
          <w:p>
            <w:pPr>
              <w:snapToGrid w:val="0"/>
              <w:spacing w:line="360" w:lineRule="exact"/>
              <w:jc w:val="center"/>
              <w:rPr>
                <w:b/>
                <w:sz w:val="20"/>
              </w:rPr>
            </w:pPr>
            <w:r>
              <w:rPr>
                <w:b/>
                <w:sz w:val="20"/>
              </w:rPr>
              <w:t>O：18.05.07;22.04.00</w:t>
            </w:r>
          </w:p>
        </w:tc>
        <w:tc>
          <w:tcPr>
            <w:tcW w:w="417" w:type="dxa"/>
            <w:vAlign w:val="center"/>
          </w:tcPr>
          <w:p>
            <w:pPr>
              <w:snapToGrid w:val="0"/>
              <w:spacing w:line="360" w:lineRule="exact"/>
              <w:jc w:val="center"/>
              <w:rPr>
                <w:b/>
                <w:sz w:val="20"/>
              </w:rPr>
            </w:pPr>
          </w:p>
        </w:tc>
        <w:tc>
          <w:tcPr>
            <w:tcW w:w="899" w:type="dxa"/>
            <w:vAlign w:val="center"/>
          </w:tcPr>
          <w:p>
            <w:pPr>
              <w:snapToGrid w:val="0"/>
              <w:spacing w:line="360" w:lineRule="exact"/>
              <w:jc w:val="center"/>
              <w:rPr>
                <w:b/>
                <w:sz w:val="20"/>
              </w:rPr>
            </w:pPr>
          </w:p>
        </w:tc>
        <w:tc>
          <w:tcPr>
            <w:tcW w:w="1896" w:type="dxa"/>
            <w:vAlign w:val="center"/>
          </w:tcPr>
          <w:p>
            <w:pPr>
              <w:snapToGrid w:val="0"/>
              <w:spacing w:line="360" w:lineRule="exact"/>
              <w:jc w:val="center"/>
              <w:rPr>
                <w:b/>
                <w:sz w:val="20"/>
              </w:rPr>
            </w:pP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numPr>
                <w:ilvl w:val="0"/>
                <w:numId w:val="0"/>
              </w:numPr>
              <w:jc w:val="both"/>
              <w:rPr>
                <w:rFonts w:hint="eastAsia" w:ascii="宋体" w:hAnsi="宋体"/>
                <w:szCs w:val="21"/>
              </w:rPr>
            </w:pPr>
            <w:r>
              <w:rPr>
                <w:rFonts w:hint="eastAsia" w:ascii="宋体" w:hAnsi="宋体"/>
                <w:szCs w:val="21"/>
              </w:rPr>
              <w:t>零部件生产工艺流程：</w:t>
            </w:r>
          </w:p>
          <w:p>
            <w:pPr>
              <w:numPr>
                <w:ilvl w:val="0"/>
                <w:numId w:val="0"/>
              </w:numPr>
              <w:jc w:val="both"/>
              <w:rPr>
                <w:rFonts w:hint="eastAsia" w:ascii="宋体" w:hAnsi="宋体"/>
                <w:szCs w:val="21"/>
              </w:rPr>
            </w:pPr>
            <w:r>
              <w:rPr>
                <w:rFonts w:hint="eastAsia" w:ascii="宋体" w:hAnsi="宋体"/>
                <w:szCs w:val="21"/>
              </w:rPr>
              <w:t>铸造件（锻造件）-车铣磨钻加工（废乳化液、废机油、废弃金属屑）-砂轮机打磨（粉尘）-热处理（外协）-检验</w:t>
            </w:r>
          </w:p>
          <w:p>
            <w:pPr>
              <w:numPr>
                <w:ilvl w:val="0"/>
                <w:numId w:val="0"/>
              </w:numPr>
              <w:ind w:left="3045" w:leftChars="0"/>
              <w:jc w:val="both"/>
              <w:rPr>
                <w:rFonts w:hint="eastAsia" w:ascii="宋体" w:hAnsi="宋体"/>
                <w:szCs w:val="21"/>
              </w:rPr>
            </w:pPr>
          </w:p>
          <w:p>
            <w:pPr>
              <w:numPr>
                <w:ilvl w:val="0"/>
                <w:numId w:val="0"/>
              </w:numPr>
              <w:jc w:val="both"/>
              <w:rPr>
                <w:rFonts w:hint="eastAsia" w:ascii="宋体" w:hAnsi="宋体"/>
                <w:szCs w:val="21"/>
              </w:rPr>
            </w:pPr>
            <w:r>
              <w:rPr>
                <w:rFonts w:hint="eastAsia" w:ascii="宋体" w:hAnsi="宋体"/>
                <w:szCs w:val="21"/>
              </w:rPr>
              <w:t>铁路工程机械（辅轨机）专用转向架、专用铁路车辆生产工艺流程</w:t>
            </w:r>
          </w:p>
          <w:p>
            <w:pPr>
              <w:numPr>
                <w:ilvl w:val="0"/>
                <w:numId w:val="0"/>
              </w:numPr>
              <w:jc w:val="both"/>
              <w:rPr>
                <w:rFonts w:hint="eastAsia" w:ascii="宋体" w:hAnsi="宋体"/>
                <w:szCs w:val="21"/>
              </w:rPr>
            </w:pPr>
            <w:r>
              <w:rPr>
                <w:rFonts w:hint="eastAsia" w:ascii="宋体" w:hAnsi="宋体"/>
                <w:szCs w:val="21"/>
              </w:rPr>
              <w:t>钢材-剪板（噪声）-折弯（噪声）-冲压（噪声）-焊接（粉尘）-打磨（粉尘）-零配件装配-喷漆车间涂层-外购件铆工装配-过程检验-总调试-出厂</w:t>
            </w:r>
          </w:p>
          <w:p>
            <w:pPr>
              <w:numPr>
                <w:ilvl w:val="0"/>
                <w:numId w:val="0"/>
              </w:numPr>
              <w:ind w:left="3045" w:leftChars="0"/>
              <w:jc w:val="both"/>
              <w:rPr>
                <w:rFonts w:hint="eastAsia" w:ascii="宋体" w:hAnsi="宋体"/>
                <w:szCs w:val="21"/>
              </w:rPr>
            </w:pPr>
          </w:p>
          <w:p>
            <w:pPr>
              <w:numPr>
                <w:ilvl w:val="0"/>
                <w:numId w:val="0"/>
              </w:numPr>
              <w:jc w:val="both"/>
              <w:rPr>
                <w:rFonts w:hint="eastAsia" w:ascii="宋体" w:hAnsi="宋体"/>
                <w:szCs w:val="21"/>
              </w:rPr>
            </w:pPr>
            <w:r>
              <w:rPr>
                <w:rFonts w:hint="eastAsia" w:ascii="宋体" w:hAnsi="宋体"/>
                <w:szCs w:val="21"/>
              </w:rPr>
              <w:t>喷漆工艺流程：</w:t>
            </w:r>
          </w:p>
          <w:p>
            <w:pPr>
              <w:numPr>
                <w:ilvl w:val="0"/>
                <w:numId w:val="0"/>
              </w:numPr>
              <w:jc w:val="both"/>
              <w:rPr>
                <w:rFonts w:hint="eastAsia" w:ascii="宋体" w:hAnsi="宋体"/>
                <w:szCs w:val="21"/>
              </w:rPr>
            </w:pPr>
            <w:r>
              <w:rPr>
                <w:rFonts w:hint="eastAsia" w:ascii="宋体" w:hAnsi="宋体"/>
                <w:szCs w:val="21"/>
              </w:rPr>
              <w:t>结构件部件-抛光打磨（粉尘）-喷底漆（漆雾、甲苯、二甲苯、非甲烷烃）-干燥-喷面漆（漆雾、甲苯、二甲苯、非甲烷烃）-干燥-铆工装配</w:t>
            </w:r>
          </w:p>
          <w:p>
            <w:pPr>
              <w:snapToGrid w:val="0"/>
              <w:spacing w:line="280" w:lineRule="exact"/>
              <w:jc w:val="left"/>
              <w:rPr>
                <w:rFonts w:hint="eastAsia"/>
                <w:b w:val="0"/>
                <w:bCs/>
                <w:sz w:val="20"/>
                <w:szCs w:val="22"/>
              </w:rPr>
            </w:pPr>
          </w:p>
          <w:p>
            <w:pPr>
              <w:snapToGrid w:val="0"/>
              <w:spacing w:line="280" w:lineRule="exact"/>
              <w:jc w:val="left"/>
              <w:rPr>
                <w:rFonts w:hint="eastAsia"/>
                <w:b w:val="0"/>
                <w:bCs/>
                <w:sz w:val="20"/>
                <w:szCs w:val="22"/>
              </w:rPr>
            </w:pPr>
            <w:r>
              <w:rPr>
                <w:rFonts w:hint="eastAsia"/>
                <w:b w:val="0"/>
                <w:bCs/>
                <w:sz w:val="20"/>
                <w:szCs w:val="22"/>
              </w:rPr>
              <w:t>1、铁路机车、轨道机车及车厢的制造（不含发动机）生产典型的工艺流程如下：（以</w:t>
            </w:r>
          </w:p>
          <w:p>
            <w:pPr>
              <w:snapToGrid w:val="0"/>
              <w:spacing w:line="280" w:lineRule="exact"/>
              <w:jc w:val="left"/>
              <w:rPr>
                <w:rFonts w:hint="eastAsia"/>
                <w:b w:val="0"/>
                <w:bCs/>
                <w:sz w:val="20"/>
                <w:szCs w:val="22"/>
              </w:rPr>
            </w:pPr>
            <w:r>
              <w:rPr>
                <w:rFonts w:hint="eastAsia"/>
                <w:b w:val="0"/>
                <w:bCs/>
                <w:sz w:val="20"/>
                <w:szCs w:val="22"/>
              </w:rPr>
              <w:t>敞车为例）</w:t>
            </w:r>
          </w:p>
          <w:p>
            <w:pPr>
              <w:snapToGrid w:val="0"/>
              <w:spacing w:line="280" w:lineRule="exact"/>
              <w:jc w:val="left"/>
              <w:rPr>
                <w:rFonts w:hint="eastAsia"/>
                <w:b w:val="0"/>
                <w:bCs/>
                <w:sz w:val="20"/>
                <w:szCs w:val="22"/>
              </w:rPr>
            </w:pPr>
            <w:r>
              <w:rPr>
                <w:rFonts w:hint="eastAsia"/>
                <w:b w:val="0"/>
                <w:bCs/>
                <w:sz w:val="20"/>
                <w:szCs w:val="22"/>
              </w:rPr>
              <w:t>敞车工艺流程：</w:t>
            </w:r>
          </w:p>
          <w:p>
            <w:pPr>
              <w:snapToGrid w:val="0"/>
              <w:spacing w:line="280" w:lineRule="exact"/>
              <w:jc w:val="left"/>
              <w:rPr>
                <w:rFonts w:hint="eastAsia"/>
                <w:b w:val="0"/>
                <w:bCs/>
                <w:sz w:val="20"/>
                <w:szCs w:val="22"/>
              </w:rPr>
            </w:pPr>
            <w:r>
              <w:rPr>
                <w:rFonts w:hint="eastAsia"/>
                <w:b w:val="0"/>
                <w:bCs/>
                <w:sz w:val="20"/>
                <w:szCs w:val="22"/>
              </w:rPr>
              <w:t>原材料进厂→货车公司、铸锻公司、制动机公司→敞车上体组装、转向架组装→制动</w:t>
            </w:r>
          </w:p>
          <w:p>
            <w:pPr>
              <w:snapToGrid w:val="0"/>
              <w:spacing w:line="280" w:lineRule="exact"/>
              <w:jc w:val="left"/>
              <w:rPr>
                <w:rFonts w:hint="eastAsia"/>
                <w:b w:val="0"/>
                <w:bCs/>
                <w:sz w:val="20"/>
                <w:szCs w:val="22"/>
              </w:rPr>
            </w:pPr>
            <w:r>
              <w:rPr>
                <w:rFonts w:hint="eastAsia"/>
                <w:b w:val="0"/>
                <w:bCs/>
                <w:sz w:val="20"/>
                <w:szCs w:val="22"/>
              </w:rPr>
              <w:t>组装、钩缓组装→试验→油漆、落成→交验。</w:t>
            </w:r>
          </w:p>
          <w:p>
            <w:pPr>
              <w:snapToGrid w:val="0"/>
              <w:spacing w:line="280" w:lineRule="exact"/>
              <w:jc w:val="left"/>
              <w:rPr>
                <w:rFonts w:hint="eastAsia"/>
                <w:b w:val="0"/>
                <w:bCs/>
                <w:sz w:val="20"/>
                <w:szCs w:val="22"/>
              </w:rPr>
            </w:pPr>
            <w:r>
              <w:rPr>
                <w:rFonts w:hint="eastAsia"/>
                <w:b w:val="0"/>
                <w:bCs/>
                <w:sz w:val="20"/>
                <w:szCs w:val="22"/>
              </w:rPr>
              <w:t>2、关键过程为：</w:t>
            </w:r>
          </w:p>
          <w:p>
            <w:pPr>
              <w:snapToGrid w:val="0"/>
              <w:spacing w:line="280" w:lineRule="exact"/>
              <w:jc w:val="left"/>
              <w:rPr>
                <w:rFonts w:hint="eastAsia"/>
                <w:b w:val="0"/>
                <w:bCs/>
                <w:sz w:val="20"/>
                <w:szCs w:val="22"/>
              </w:rPr>
            </w:pPr>
            <w:r>
              <w:rPr>
                <w:rFonts w:hint="eastAsia"/>
                <w:b w:val="0"/>
                <w:bCs/>
                <w:sz w:val="20"/>
                <w:szCs w:val="22"/>
              </w:rPr>
              <w:t>敞车上体组装、转向架组装，制动组装、钩缓组装。</w:t>
            </w:r>
          </w:p>
          <w:p>
            <w:pPr>
              <w:snapToGrid w:val="0"/>
              <w:spacing w:line="280" w:lineRule="exact"/>
              <w:jc w:val="left"/>
              <w:rPr>
                <w:rFonts w:hint="eastAsia"/>
                <w:b w:val="0"/>
                <w:bCs/>
                <w:sz w:val="20"/>
                <w:szCs w:val="22"/>
              </w:rPr>
            </w:pPr>
            <w:r>
              <w:rPr>
                <w:rFonts w:hint="eastAsia"/>
                <w:b w:val="0"/>
                <w:bCs/>
                <w:sz w:val="20"/>
                <w:szCs w:val="22"/>
              </w:rPr>
              <w:t>3、特殊过程为：</w:t>
            </w:r>
          </w:p>
          <w:p>
            <w:pPr>
              <w:snapToGrid w:val="0"/>
              <w:spacing w:line="280" w:lineRule="exact"/>
              <w:jc w:val="left"/>
              <w:rPr>
                <w:rFonts w:hint="eastAsia"/>
                <w:b w:val="0"/>
                <w:bCs/>
                <w:sz w:val="20"/>
                <w:szCs w:val="22"/>
              </w:rPr>
            </w:pPr>
            <w:r>
              <w:rPr>
                <w:rFonts w:hint="eastAsia"/>
                <w:b w:val="0"/>
                <w:bCs/>
                <w:sz w:val="20"/>
                <w:szCs w:val="22"/>
              </w:rPr>
              <w:t>焊接、油漆</w:t>
            </w:r>
          </w:p>
          <w:p>
            <w:pPr>
              <w:snapToGrid w:val="0"/>
              <w:spacing w:line="280" w:lineRule="exact"/>
              <w:jc w:val="left"/>
              <w:rPr>
                <w:rFonts w:hint="eastAsia"/>
                <w:b w:val="0"/>
                <w:bCs/>
                <w:sz w:val="20"/>
                <w:szCs w:val="22"/>
              </w:rPr>
            </w:pPr>
          </w:p>
          <w:p>
            <w:pPr>
              <w:snapToGrid w:val="0"/>
              <w:spacing w:line="280" w:lineRule="exact"/>
              <w:jc w:val="left"/>
              <w:rPr>
                <w:rFonts w:hint="eastAsia"/>
                <w:b w:val="0"/>
                <w:bCs/>
                <w:sz w:val="20"/>
                <w:szCs w:val="22"/>
              </w:rPr>
            </w:pP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pStyle w:val="2"/>
              <w:rPr>
                <w:rFonts w:hint="eastAsia"/>
              </w:rPr>
            </w:pPr>
          </w:p>
          <w:p>
            <w:pPr>
              <w:rPr>
                <w:rFonts w:hint="eastAsia"/>
              </w:rPr>
            </w:pPr>
            <w:r>
              <w:rPr>
                <w:rFonts w:hint="eastAsia"/>
                <w:b/>
                <w:bCs/>
              </w:rPr>
              <w:t>焊接：</w:t>
            </w:r>
            <w:r>
              <w:rPr>
                <w:rFonts w:hint="eastAsia"/>
              </w:rPr>
              <w:t>电流、电压、焊接速度，焊条焊剂的选用，使用保护气体时气体流量压力。</w:t>
            </w:r>
          </w:p>
          <w:p>
            <w:pPr>
              <w:rPr>
                <w:rFonts w:hint="eastAsia"/>
              </w:rPr>
            </w:pPr>
            <w:r>
              <w:rPr>
                <w:rFonts w:hint="eastAsia"/>
                <w:b/>
                <w:bCs/>
              </w:rPr>
              <w:t>喷漆：</w:t>
            </w:r>
            <w:r>
              <w:rPr>
                <w:rFonts w:hint="eastAsia"/>
              </w:rPr>
              <w:t>所喷物件的表面处理干净、喷漆环境应洁净，干燥、喷漆次数。</w:t>
            </w:r>
          </w:p>
          <w:p>
            <w:pPr>
              <w:snapToGrid w:val="0"/>
              <w:spacing w:line="280" w:lineRule="exact"/>
              <w:jc w:val="left"/>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szCs w:val="21"/>
              </w:rPr>
              <w:t>铁路专用设备、铁路大型养路机械配套转向架、轨道交通车辆的生产</w:t>
            </w:r>
            <w:r>
              <w:rPr>
                <w:rFonts w:hint="eastAsia"/>
                <w:sz w:val="21"/>
                <w:szCs w:val="21"/>
              </w:rPr>
              <w:t>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 w:val="21"/>
                <w:szCs w:val="21"/>
              </w:rPr>
              <w:t>2</w:t>
            </w:r>
            <w:r>
              <w:rPr>
                <w:rFonts w:hint="eastAsia"/>
                <w:sz w:val="21"/>
                <w:szCs w:val="21"/>
              </w:rPr>
              <w:t>项，涉及：火灾和触电，评价符合程序要求及公司的实际情况。对危险源的控制措施包括制定管理制度、监督检查、应急预案、培训等。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lang w:eastAsia="zh-CN"/>
              </w:rPr>
            </w:pPr>
            <w:r>
              <w:rPr>
                <w:rFonts w:hint="eastAsia"/>
                <w:lang w:eastAsia="zh-CN"/>
              </w:rPr>
              <w:t>《</w:t>
            </w:r>
            <w:r>
              <w:rPr>
                <w:rFonts w:hint="eastAsia"/>
              </w:rPr>
              <w:t>中华人民共和国安全生产法</w:t>
            </w:r>
            <w:r>
              <w:rPr>
                <w:rFonts w:hint="eastAsia"/>
                <w:lang w:eastAsia="zh-CN"/>
              </w:rPr>
              <w:t>》、《</w:t>
            </w:r>
            <w:r>
              <w:rPr>
                <w:rFonts w:hint="eastAsia" w:ascii="宋体" w:hAnsi="宋体"/>
                <w:color w:val="000000"/>
                <w:sz w:val="24"/>
              </w:rPr>
              <w:t>中华人民共和国安全生产法</w:t>
            </w:r>
            <w:r>
              <w:rPr>
                <w:rFonts w:hint="eastAsia"/>
                <w:lang w:eastAsia="zh-CN"/>
              </w:rPr>
              <w:t>》、《</w:t>
            </w:r>
            <w:r>
              <w:rPr>
                <w:rFonts w:hint="eastAsia" w:ascii="宋体" w:hAnsi="宋体"/>
                <w:color w:val="000000"/>
                <w:sz w:val="24"/>
              </w:rPr>
              <w:t>中华人民共和国特种设备安全法</w:t>
            </w:r>
            <w:r>
              <w:rPr>
                <w:rFonts w:hint="eastAsia"/>
                <w:lang w:eastAsia="zh-CN"/>
              </w:rPr>
              <w:t>》、《</w:t>
            </w:r>
            <w:r>
              <w:rPr>
                <w:rFonts w:hint="eastAsia" w:ascii="宋体" w:hAnsi="宋体"/>
                <w:color w:val="000000"/>
                <w:sz w:val="24"/>
              </w:rPr>
              <w:t>劳动防护用品管理规定</w:t>
            </w:r>
            <w:r>
              <w:rPr>
                <w:rFonts w:hint="eastAsia"/>
                <w:lang w:eastAsia="zh-CN"/>
              </w:rPr>
              <w:t>》、《</w:t>
            </w:r>
            <w:r>
              <w:rPr>
                <w:rFonts w:hint="eastAsia" w:ascii="宋体" w:hAnsi="宋体"/>
                <w:color w:val="000000"/>
                <w:sz w:val="24"/>
              </w:rPr>
              <w:t>职业病诊断管理办法</w:t>
            </w:r>
            <w:r>
              <w:rPr>
                <w:rFonts w:hint="eastAsia"/>
                <w:lang w:eastAsia="zh-CN"/>
              </w:rPr>
              <w:t>》、《</w:t>
            </w:r>
            <w:r>
              <w:rPr>
                <w:rFonts w:hint="eastAsia" w:ascii="宋体" w:hAnsi="宋体"/>
                <w:color w:val="000000"/>
                <w:sz w:val="24"/>
              </w:rPr>
              <w:t>国家职业卫生标准管理办法</w:t>
            </w:r>
            <w:r>
              <w:rPr>
                <w:rFonts w:hint="eastAsia"/>
                <w:lang w:eastAsia="zh-CN"/>
              </w:rPr>
              <w:t>》、《</w:t>
            </w:r>
            <w:r>
              <w:rPr>
                <w:rFonts w:hint="eastAsia" w:ascii="宋体" w:hAnsi="宋体"/>
                <w:color w:val="000000"/>
                <w:sz w:val="24"/>
              </w:rPr>
              <w:t>企业职工劳动安全卫生教育管理规定</w:t>
            </w:r>
            <w:r>
              <w:rPr>
                <w:rFonts w:hint="eastAsia"/>
                <w:lang w:eastAsia="zh-CN"/>
              </w:rPr>
              <w:t>》、《</w:t>
            </w:r>
            <w:r>
              <w:rPr>
                <w:rFonts w:hint="eastAsia" w:ascii="宋体" w:hAnsi="宋体"/>
                <w:color w:val="000000"/>
                <w:sz w:val="24"/>
              </w:rPr>
              <w:t>劳动防护用品选用规则</w:t>
            </w:r>
            <w:r>
              <w:rPr>
                <w:rFonts w:hint="eastAsia"/>
                <w:lang w:eastAsia="zh-CN"/>
              </w:rPr>
              <w:t>》、《</w:t>
            </w:r>
            <w:r>
              <w:rPr>
                <w:rFonts w:hint="eastAsia" w:ascii="宋体" w:hAnsi="宋体"/>
                <w:color w:val="000000"/>
                <w:sz w:val="24"/>
              </w:rPr>
              <w:t>生产过程危险和有害因素</w:t>
            </w:r>
            <w:r>
              <w:rPr>
                <w:rFonts w:hint="eastAsia"/>
                <w:lang w:eastAsia="zh-CN"/>
              </w:rPr>
              <w:t>》、《</w:t>
            </w:r>
            <w:r>
              <w:rPr>
                <w:rFonts w:hint="eastAsia" w:ascii="宋体" w:hAnsi="宋体"/>
                <w:sz w:val="24"/>
              </w:rPr>
              <w:t>大气污染物综合排放标准GB16297-1996</w:t>
            </w:r>
            <w:r>
              <w:rPr>
                <w:rFonts w:hint="eastAsia"/>
                <w:lang w:eastAsia="zh-CN"/>
              </w:rPr>
              <w:t>》、《</w:t>
            </w:r>
            <w:r>
              <w:rPr>
                <w:rFonts w:hint="eastAsia" w:ascii="宋体" w:hAnsi="宋体"/>
                <w:sz w:val="24"/>
              </w:rPr>
              <w:t>环境标准管理办法</w:t>
            </w:r>
            <w:r>
              <w:rPr>
                <w:rFonts w:hint="eastAsia"/>
                <w:lang w:eastAsia="zh-CN"/>
              </w:rPr>
              <w:t>》、《</w:t>
            </w:r>
            <w:r>
              <w:rPr>
                <w:rFonts w:hint="eastAsia" w:ascii="宋体" w:hAnsi="宋体"/>
                <w:sz w:val="24"/>
              </w:rPr>
              <w:t>中华人民共和国环境噪声污染防治法</w:t>
            </w:r>
            <w:r>
              <w:rPr>
                <w:rFonts w:hint="eastAsia"/>
                <w:lang w:eastAsia="zh-CN"/>
              </w:rPr>
              <w:t>》、《</w:t>
            </w:r>
            <w:r>
              <w:rPr>
                <w:rFonts w:hint="eastAsia" w:ascii="宋体" w:hAnsi="宋体"/>
                <w:sz w:val="24"/>
              </w:rPr>
              <w:t>环境保护行政处罚办法</w:t>
            </w:r>
            <w:r>
              <w:rPr>
                <w:rFonts w:hint="eastAsia"/>
                <w:lang w:eastAsia="zh-CN"/>
              </w:rPr>
              <w:t>》、《</w:t>
            </w:r>
            <w:r>
              <w:rPr>
                <w:rFonts w:hint="eastAsia" w:ascii="宋体" w:hAnsi="宋体"/>
                <w:sz w:val="24"/>
              </w:rPr>
              <w:t>中华人民共和国可再生能源法</w:t>
            </w:r>
            <w:r>
              <w:rPr>
                <w:rFonts w:hint="eastAsia"/>
                <w:lang w:eastAsia="zh-CN"/>
              </w:rPr>
              <w:t>》、《</w:t>
            </w:r>
            <w:r>
              <w:rPr>
                <w:rFonts w:hint="eastAsia" w:ascii="宋体" w:hAnsi="宋体"/>
                <w:sz w:val="24"/>
              </w:rPr>
              <w:t>生活垃圾焚烧污染控制标准</w:t>
            </w:r>
            <w:r>
              <w:rPr>
                <w:rFonts w:hint="eastAsia"/>
                <w:lang w:eastAsia="zh-CN"/>
              </w:rPr>
              <w:t>》、《</w:t>
            </w:r>
            <w:r>
              <w:rPr>
                <w:rFonts w:hint="eastAsia" w:ascii="宋体" w:hAnsi="宋体"/>
                <w:sz w:val="24"/>
              </w:rPr>
              <w:t>危险废物鉴别标准</w:t>
            </w:r>
            <w:r>
              <w:rPr>
                <w:rFonts w:hint="eastAsia"/>
                <w:lang w:eastAsia="zh-CN"/>
              </w:rPr>
              <w:t>》、《</w:t>
            </w:r>
            <w:r>
              <w:rPr>
                <w:rFonts w:hint="eastAsia" w:ascii="宋体" w:hAnsi="宋体"/>
                <w:sz w:val="24"/>
              </w:rPr>
              <w:t>危险废物转移联单管理办法</w:t>
            </w:r>
            <w:r>
              <w:rPr>
                <w:rFonts w:hint="eastAsia"/>
                <w:lang w:eastAsia="zh-CN"/>
              </w:rPr>
              <w:t>》、《</w:t>
            </w:r>
            <w:r>
              <w:rPr>
                <w:rFonts w:hint="eastAsia" w:ascii="宋体" w:hAnsi="宋体"/>
                <w:color w:val="000000"/>
                <w:sz w:val="24"/>
              </w:rPr>
              <w:t>女职工劳动保护规定</w:t>
            </w:r>
            <w:r>
              <w:rPr>
                <w:rFonts w:hint="eastAsia"/>
                <w:lang w:eastAsia="zh-CN"/>
              </w:rPr>
              <w:t>》</w:t>
            </w:r>
          </w:p>
          <w:p>
            <w:pPr>
              <w:snapToGrid w:val="0"/>
              <w:spacing w:line="280" w:lineRule="exact"/>
              <w:jc w:val="left"/>
              <w:rPr>
                <w:rFonts w:hint="eastAsia"/>
                <w:lang w:eastAsia="zh-CN"/>
              </w:rPr>
            </w:pPr>
            <w:r>
              <w:rPr>
                <w:rFonts w:hint="eastAsia"/>
                <w:lang w:eastAsia="zh-CN"/>
              </w:rPr>
              <w:t>湖南省实施工伤保险条例办法</w:t>
            </w:r>
            <w:r>
              <w:rPr>
                <w:rFonts w:hint="eastAsia"/>
                <w:lang w:eastAsia="zh-CN"/>
              </w:rPr>
              <w:tab/>
            </w:r>
            <w:r>
              <w:rPr>
                <w:rFonts w:hint="eastAsia"/>
                <w:lang w:eastAsia="zh-CN"/>
              </w:rPr>
              <w:t>湖南省人民政府</w:t>
            </w:r>
            <w:r>
              <w:rPr>
                <w:rFonts w:hint="eastAsia"/>
                <w:lang w:eastAsia="zh-CN"/>
              </w:rPr>
              <w:tab/>
            </w:r>
            <w:r>
              <w:rPr>
                <w:rFonts w:hint="eastAsia"/>
                <w:lang w:eastAsia="zh-CN"/>
              </w:rPr>
              <w:t>2014.4.1</w:t>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生产过程安全卫生要求总则</w:t>
            </w:r>
            <w:r>
              <w:rPr>
                <w:rFonts w:hint="eastAsia"/>
                <w:lang w:eastAsia="zh-CN"/>
              </w:rPr>
              <w:tab/>
            </w:r>
            <w:r>
              <w:rPr>
                <w:rFonts w:hint="eastAsia"/>
                <w:lang w:eastAsia="zh-CN"/>
              </w:rPr>
              <w:t>GB12801-2008</w:t>
            </w:r>
            <w:r>
              <w:rPr>
                <w:rFonts w:hint="eastAsia"/>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napToGrid w:val="0"/>
              <w:spacing w:line="280" w:lineRule="exact"/>
              <w:jc w:val="left"/>
              <w:rPr>
                <w:rFonts w:hint="eastAsia"/>
                <w:lang w:eastAsia="zh-CN"/>
              </w:rPr>
            </w:pPr>
            <w:r>
              <w:rPr>
                <w:rFonts w:hint="eastAsia"/>
                <w:lang w:eastAsia="zh-CN"/>
              </w:rPr>
              <w:t>湖南省安全生产条例</w:t>
            </w:r>
            <w:r>
              <w:rPr>
                <w:rFonts w:hint="eastAsia"/>
                <w:lang w:eastAsia="zh-CN"/>
              </w:rPr>
              <w:tab/>
            </w:r>
            <w:r>
              <w:rPr>
                <w:rFonts w:hint="eastAsia"/>
                <w:lang w:eastAsia="zh-CN"/>
              </w:rPr>
              <w:t>湖南省人大</w:t>
            </w:r>
            <w:r>
              <w:rPr>
                <w:rFonts w:hint="eastAsia"/>
                <w:lang w:eastAsia="zh-CN"/>
              </w:rPr>
              <w:tab/>
            </w:r>
            <w:r>
              <w:rPr>
                <w:rFonts w:hint="eastAsia"/>
                <w:lang w:eastAsia="zh-CN"/>
              </w:rPr>
              <w:t>2014.11.26</w:t>
            </w:r>
          </w:p>
          <w:p>
            <w:pPr>
              <w:snapToGrid w:val="0"/>
              <w:spacing w:line="280" w:lineRule="exact"/>
              <w:jc w:val="left"/>
              <w:rPr>
                <w:rFonts w:hint="eastAsia"/>
                <w:lang w:eastAsia="zh-CN"/>
              </w:rPr>
            </w:pPr>
            <w:r>
              <w:rPr>
                <w:rFonts w:hint="eastAsia"/>
                <w:lang w:eastAsia="zh-CN"/>
              </w:rPr>
              <w:t>湖南省突发环境事件应急预案管理办法</w:t>
            </w:r>
            <w:r>
              <w:rPr>
                <w:rFonts w:hint="eastAsia"/>
                <w:lang w:eastAsia="zh-CN"/>
              </w:rPr>
              <w:tab/>
            </w:r>
            <w:r>
              <w:rPr>
                <w:rFonts w:hint="eastAsia"/>
                <w:lang w:eastAsia="zh-CN"/>
              </w:rPr>
              <w:t>省机关事务管理局</w:t>
            </w:r>
            <w:r>
              <w:rPr>
                <w:rFonts w:hint="eastAsia"/>
                <w:lang w:eastAsia="zh-CN"/>
              </w:rPr>
              <w:tab/>
            </w:r>
            <w:r>
              <w:rPr>
                <w:rFonts w:hint="eastAsia"/>
                <w:lang w:eastAsia="zh-CN"/>
              </w:rPr>
              <w:t>2016.10.20</w:t>
            </w:r>
          </w:p>
          <w:p>
            <w:pPr>
              <w:snapToGrid w:val="0"/>
              <w:spacing w:line="280" w:lineRule="exact"/>
              <w:jc w:val="left"/>
              <w:rPr>
                <w:rFonts w:hint="eastAsia"/>
                <w:lang w:eastAsia="zh-CN"/>
              </w:rPr>
            </w:pPr>
            <w:r>
              <w:rPr>
                <w:rFonts w:hint="eastAsia"/>
                <w:lang w:eastAsia="zh-CN"/>
              </w:rPr>
              <w:t>湖南省大气污染防治条例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2017.6.1</w:t>
            </w:r>
          </w:p>
          <w:p>
            <w:pPr>
              <w:snapToGrid w:val="0"/>
              <w:spacing w:line="280" w:lineRule="exact"/>
              <w:jc w:val="left"/>
              <w:rPr>
                <w:rFonts w:hint="eastAsia"/>
                <w:lang w:eastAsia="zh-CN"/>
              </w:rPr>
            </w:pPr>
            <w:r>
              <w:rPr>
                <w:rFonts w:hint="eastAsia"/>
                <w:lang w:eastAsia="zh-CN"/>
              </w:rPr>
              <w:t>中华人民共和国固体废物污染环境防治法</w:t>
            </w:r>
            <w:r>
              <w:rPr>
                <w:rFonts w:hint="eastAsia"/>
                <w:lang w:eastAsia="zh-CN"/>
              </w:rPr>
              <w:tab/>
            </w:r>
            <w:r>
              <w:rPr>
                <w:rFonts w:hint="eastAsia"/>
                <w:lang w:eastAsia="zh-CN"/>
              </w:rPr>
              <w:t>全国人大</w:t>
            </w:r>
            <w:r>
              <w:rPr>
                <w:rFonts w:hint="eastAsia"/>
                <w:lang w:eastAsia="zh-CN"/>
              </w:rPr>
              <w:tab/>
            </w:r>
            <w:r>
              <w:rPr>
                <w:rFonts w:hint="eastAsia"/>
                <w:lang w:eastAsia="zh-CN"/>
              </w:rPr>
              <w:t>2016.11.7</w:t>
            </w:r>
          </w:p>
          <w:p>
            <w:pPr>
              <w:snapToGrid w:val="0"/>
              <w:spacing w:line="280" w:lineRule="exact"/>
              <w:jc w:val="left"/>
              <w:rPr>
                <w:rFonts w:hint="eastAsia"/>
                <w:lang w:eastAsia="zh-CN"/>
              </w:rPr>
            </w:pPr>
            <w:r>
              <w:rPr>
                <w:rFonts w:hint="eastAsia"/>
                <w:lang w:eastAsia="zh-CN"/>
              </w:rPr>
              <w:t>湖南省湘江流域水污染防治条例</w:t>
            </w:r>
            <w:r>
              <w:rPr>
                <w:rFonts w:hint="eastAsia"/>
                <w:lang w:eastAsia="zh-CN"/>
              </w:rPr>
              <w:tab/>
            </w:r>
            <w:r>
              <w:rPr>
                <w:rFonts w:hint="eastAsia"/>
                <w:lang w:eastAsia="zh-CN"/>
              </w:rPr>
              <w:t>湖南省人大常委会</w:t>
            </w:r>
            <w:r>
              <w:rPr>
                <w:rFonts w:hint="eastAsia"/>
                <w:lang w:eastAsia="zh-CN"/>
              </w:rPr>
              <w:tab/>
            </w:r>
            <w:r>
              <w:rPr>
                <w:rFonts w:hint="eastAsia"/>
                <w:lang w:eastAsia="zh-CN"/>
              </w:rPr>
              <w:t>2002.3.29</w:t>
            </w:r>
          </w:p>
          <w:p>
            <w:pPr>
              <w:snapToGrid w:val="0"/>
              <w:spacing w:line="280" w:lineRule="exact"/>
              <w:jc w:val="left"/>
              <w:rPr>
                <w:rFonts w:hint="eastAsia"/>
                <w:lang w:eastAsia="zh-CN"/>
              </w:rPr>
            </w:pPr>
            <w:r>
              <w:rPr>
                <w:rFonts w:hint="eastAsia"/>
                <w:lang w:eastAsia="zh-CN"/>
              </w:rPr>
              <w:t>中华人民共和国节约能源法</w:t>
            </w:r>
            <w:r>
              <w:rPr>
                <w:rFonts w:hint="eastAsia"/>
                <w:lang w:eastAsia="zh-CN"/>
              </w:rPr>
              <w:tab/>
            </w:r>
            <w:r>
              <w:rPr>
                <w:rFonts w:hint="eastAsia"/>
                <w:lang w:eastAsia="zh-CN"/>
              </w:rPr>
              <w:t>全国人大</w:t>
            </w:r>
            <w:r>
              <w:rPr>
                <w:rFonts w:hint="eastAsia"/>
                <w:lang w:eastAsia="zh-CN"/>
              </w:rPr>
              <w:tab/>
            </w:r>
            <w:r>
              <w:rPr>
                <w:rFonts w:hint="eastAsia"/>
                <w:lang w:eastAsia="zh-CN"/>
              </w:rPr>
              <w:t>2018.10.26</w:t>
            </w:r>
          </w:p>
          <w:p>
            <w:pPr>
              <w:snapToGrid w:val="0"/>
              <w:spacing w:line="280" w:lineRule="exact"/>
              <w:jc w:val="left"/>
              <w:rPr>
                <w:rFonts w:hint="eastAsia"/>
                <w:lang w:eastAsia="zh-CN"/>
              </w:rPr>
            </w:pPr>
            <w:r>
              <w:rPr>
                <w:rFonts w:hint="eastAsia"/>
                <w:lang w:eastAsia="zh-CN"/>
              </w:rPr>
              <w:t>湖南省城市节约用水管理实施办法</w:t>
            </w:r>
            <w:r>
              <w:rPr>
                <w:rFonts w:hint="eastAsia"/>
                <w:lang w:eastAsia="zh-CN"/>
              </w:rPr>
              <w:tab/>
            </w:r>
            <w:r>
              <w:rPr>
                <w:rFonts w:hint="eastAsia"/>
                <w:lang w:eastAsia="zh-CN"/>
              </w:rPr>
              <w:t>湖南省政府</w:t>
            </w:r>
            <w:r>
              <w:rPr>
                <w:rFonts w:hint="eastAsia"/>
                <w:lang w:eastAsia="zh-CN"/>
              </w:rPr>
              <w:tab/>
            </w:r>
            <w:r>
              <w:rPr>
                <w:rFonts w:hint="eastAsia"/>
                <w:lang w:eastAsia="zh-CN"/>
              </w:rPr>
              <w:t>2009.3.1</w:t>
            </w:r>
          </w:p>
          <w:p>
            <w:pPr>
              <w:snapToGrid w:val="0"/>
              <w:spacing w:line="280" w:lineRule="exact"/>
              <w:jc w:val="left"/>
              <w:rPr>
                <w:rFonts w:hint="eastAsia"/>
                <w:lang w:eastAsia="zh-CN"/>
              </w:rPr>
            </w:pPr>
            <w:r>
              <w:rPr>
                <w:rFonts w:hint="eastAsia"/>
                <w:lang w:eastAsia="zh-CN"/>
              </w:rPr>
              <w:t>湖南省消防条例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1992.8.23</w:t>
            </w:r>
            <w:bookmarkStart w:id="2" w:name="_GoBack"/>
            <w:bookmarkEnd w:id="2"/>
          </w:p>
          <w:p>
            <w:pPr>
              <w:snapToGrid w:val="0"/>
              <w:spacing w:line="280" w:lineRule="exact"/>
              <w:jc w:val="left"/>
              <w:rPr>
                <w:rFonts w:hint="eastAsia"/>
                <w:b w:val="0"/>
                <w:bCs/>
                <w:sz w:val="20"/>
                <w:szCs w:val="22"/>
              </w:rPr>
            </w:pPr>
            <w:r>
              <w:rPr>
                <w:rFonts w:hint="eastAsia"/>
                <w:b w:val="0"/>
                <w:bCs/>
                <w:sz w:val="20"/>
                <w:szCs w:val="22"/>
              </w:rPr>
              <w:t>GB/T3367.10-1984《铁路机车名词术语 牵引电气设备名称》、</w:t>
            </w:r>
          </w:p>
          <w:p>
            <w:pPr>
              <w:snapToGrid w:val="0"/>
              <w:spacing w:line="280" w:lineRule="exact"/>
              <w:jc w:val="left"/>
              <w:rPr>
                <w:rFonts w:hint="eastAsia"/>
                <w:b w:val="0"/>
                <w:bCs/>
                <w:sz w:val="20"/>
                <w:szCs w:val="22"/>
              </w:rPr>
            </w:pPr>
            <w:r>
              <w:rPr>
                <w:rFonts w:hint="eastAsia"/>
                <w:b w:val="0"/>
                <w:bCs/>
                <w:sz w:val="20"/>
                <w:szCs w:val="22"/>
              </w:rPr>
              <w:t>GB/T3367.6-2000《铁道机车名词术语 内燃机车术语》、GB/T3367.7-2000《铁道机车</w:t>
            </w:r>
          </w:p>
          <w:p>
            <w:pPr>
              <w:snapToGrid w:val="0"/>
              <w:spacing w:line="280" w:lineRule="exact"/>
              <w:jc w:val="left"/>
              <w:rPr>
                <w:rFonts w:hint="eastAsia"/>
                <w:lang w:eastAsia="zh-CN"/>
              </w:rPr>
            </w:pPr>
            <w:r>
              <w:rPr>
                <w:rFonts w:hint="eastAsia"/>
                <w:b w:val="0"/>
                <w:bCs/>
                <w:sz w:val="20"/>
                <w:szCs w:val="22"/>
              </w:rPr>
              <w:t>名词术语柴油机术语》、GB/T5600-2006《铁道货车通用技术条件》中的定义</w:t>
            </w:r>
            <w:r>
              <w:rPr>
                <w:rFonts w:hint="eastAsia"/>
                <w:lang w:eastAsia="zh-CN"/>
              </w:rPr>
              <w:t>等</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一、零件检查的主要内容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在机械制造与检修中，零件一般都要进行逐个检查，其主要内容可分为以下几个方面：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1、零件几何精度的检查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几何精度包括尺寸精度和形状位置精度，但检修工作有时不是追求单个零件的几何尺寸，而是要求相对的配合精度，这往往是检查工作中重要的一环。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形状和位置精度在检修中常见的有圆度、圆柱度、同心度、同轴度、平行度和垂直度等。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2、表面质量的检查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检修工作中的零件表面质量的检查不仅限于表面光洁度的检查，而是对使用过的零件表面有无划伤、烧损和拉毛等缺陷的检查。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3、力学性能的检查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根据机械检修的特点，除了对零件材料的力学性能中的硬度一项进行检查外，其它指标一般不作检查，但对零件制造和检修过程中所碰上的某些性能，如平衡状况、弹簧刚度等，就不可忽视了。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4、隐蔽缺陷的检查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零件在制造过程中，可能内部存在夹渣、空洞等原始缺陷，在使用过程中可能产生微观裂纹。这些缺陷不能直接从一般的观察和测量中发现，但它对机械可能产生严重的后果，因此，在机械检修中，必须有目的的对某些零件进行全面的检查</w:t>
            </w:r>
          </w:p>
          <w:p>
            <w:pPr>
              <w:snapToGrid w:val="0"/>
              <w:spacing w:line="280" w:lineRule="exact"/>
              <w:jc w:val="center"/>
              <w:rPr>
                <w:rFonts w:hint="eastAsia" w:eastAsia="宋体"/>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7"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sz w:val="18"/>
          <w:szCs w:val="18"/>
        </w:rPr>
        <w:t>殷建雄</w:t>
      </w:r>
      <w:r>
        <w:rPr>
          <w:rFonts w:hint="eastAsia" w:ascii="宋体"/>
          <w:b/>
          <w:sz w:val="22"/>
          <w:szCs w:val="22"/>
        </w:rPr>
        <w:t xml:space="preserve">           审核组长</w:t>
      </w:r>
      <w:r>
        <w:rPr>
          <w:rFonts w:hint="eastAsia" w:ascii="宋体"/>
          <w:b/>
          <w:sz w:val="18"/>
          <w:szCs w:val="18"/>
        </w:rPr>
        <w:t xml:space="preserve">：   </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2019.8.28</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B4A7BD4"/>
    <w:rsid w:val="0E375945"/>
    <w:rsid w:val="0F4E6BC6"/>
    <w:rsid w:val="2B767E07"/>
    <w:rsid w:val="2EAC33F8"/>
    <w:rsid w:val="366A3E5B"/>
    <w:rsid w:val="59154E70"/>
    <w:rsid w:val="635C1D4A"/>
    <w:rsid w:val="71412987"/>
    <w:rsid w:val="75997201"/>
    <w:rsid w:val="78274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1</TotalTime>
  <ScaleCrop>false</ScaleCrop>
  <LinksUpToDate>false</LinksUpToDate>
  <CharactersWithSpaces>294</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tanha</cp:lastModifiedBy>
  <dcterms:modified xsi:type="dcterms:W3CDTF">2019-09-04T09:14:13Z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