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szCs w:val="44"/>
          <w:u w:val="single"/>
        </w:rPr>
        <w:t>0390-2019-Q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四川德固建材科技有限公司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b/>
                <w:color w:val="000000"/>
                <w:sz w:val="20"/>
                <w:szCs w:val="20"/>
              </w:rPr>
            </w:pPr>
            <w:r>
              <w:rPr>
                <w:rFonts w:hint="eastAsia"/>
                <w:b/>
                <w:color w:val="000000"/>
                <w:sz w:val="20"/>
                <w:szCs w:val="20"/>
              </w:rPr>
              <w:t>组内</w:t>
            </w:r>
          </w:p>
          <w:p>
            <w:pPr>
              <w:spacing w:line="240" w:lineRule="exact"/>
              <w:jc w:val="center"/>
              <w:rPr>
                <w:b/>
                <w:color w:val="000000"/>
                <w:sz w:val="20"/>
                <w:szCs w:val="20"/>
              </w:rPr>
            </w:pPr>
            <w:r>
              <w:rPr>
                <w:rFonts w:hint="eastAsia"/>
                <w:b/>
                <w:color w:val="000000"/>
                <w:sz w:val="20"/>
                <w:szCs w:val="20"/>
              </w:rPr>
              <w:t>身份</w:t>
            </w:r>
          </w:p>
        </w:tc>
        <w:tc>
          <w:tcPr>
            <w:tcW w:w="1417" w:type="dxa"/>
            <w:gridSpan w:val="2"/>
            <w:vAlign w:val="center"/>
          </w:tcPr>
          <w:p>
            <w:pPr>
              <w:spacing w:line="240" w:lineRule="exact"/>
              <w:jc w:val="center"/>
              <w:rPr>
                <w:b/>
                <w:color w:val="000000"/>
                <w:sz w:val="20"/>
                <w:szCs w:val="20"/>
              </w:rPr>
            </w:pPr>
            <w:r>
              <w:rPr>
                <w:rFonts w:hint="eastAsia"/>
                <w:b/>
                <w:color w:val="000000"/>
                <w:sz w:val="20"/>
                <w:szCs w:val="20"/>
              </w:rPr>
              <w:t>性别</w:t>
            </w:r>
          </w:p>
        </w:tc>
        <w:tc>
          <w:tcPr>
            <w:tcW w:w="3402" w:type="dxa"/>
            <w:gridSpan w:val="5"/>
            <w:vAlign w:val="center"/>
          </w:tcPr>
          <w:p>
            <w:pPr>
              <w:spacing w:line="240" w:lineRule="exact"/>
              <w:jc w:val="center"/>
              <w:rPr>
                <w:b/>
                <w:color w:val="000000"/>
                <w:sz w:val="20"/>
                <w:szCs w:val="20"/>
              </w:rPr>
            </w:pPr>
            <w:r>
              <w:rPr>
                <w:rFonts w:hint="eastAsia"/>
                <w:b/>
                <w:color w:val="000000"/>
                <w:sz w:val="20"/>
                <w:szCs w:val="20"/>
              </w:rPr>
              <w:t>注册资格</w:t>
            </w:r>
          </w:p>
        </w:tc>
        <w:tc>
          <w:tcPr>
            <w:tcW w:w="2179" w:type="dxa"/>
            <w:gridSpan w:val="2"/>
            <w:vAlign w:val="center"/>
          </w:tcPr>
          <w:p>
            <w:pPr>
              <w:spacing w:line="240" w:lineRule="exact"/>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b/>
                <w:color w:val="000000"/>
                <w:sz w:val="20"/>
                <w:szCs w:val="20"/>
              </w:rPr>
            </w:pPr>
            <w:r>
              <w:rPr>
                <w:rFonts w:hint="eastAsia"/>
                <w:b/>
                <w:color w:val="000000"/>
                <w:sz w:val="20"/>
                <w:szCs w:val="20"/>
              </w:rPr>
              <w:t>李林</w:t>
            </w:r>
          </w:p>
        </w:tc>
        <w:tc>
          <w:tcPr>
            <w:tcW w:w="851" w:type="dxa"/>
            <w:gridSpan w:val="2"/>
            <w:vAlign w:val="center"/>
          </w:tcPr>
          <w:p>
            <w:pPr>
              <w:spacing w:line="240" w:lineRule="exact"/>
              <w:jc w:val="center"/>
              <w:rPr>
                <w:rFonts w:hint="eastAsia"/>
                <w:b/>
                <w:color w:val="000000"/>
                <w:sz w:val="20"/>
                <w:szCs w:val="20"/>
              </w:rPr>
            </w:pPr>
            <w:r>
              <w:rPr>
                <w:rFonts w:hint="eastAsia"/>
                <w:b/>
                <w:color w:val="000000"/>
                <w:sz w:val="20"/>
                <w:szCs w:val="20"/>
              </w:rPr>
              <w:t>组长</w:t>
            </w:r>
          </w:p>
        </w:tc>
        <w:tc>
          <w:tcPr>
            <w:tcW w:w="1417" w:type="dxa"/>
            <w:gridSpan w:val="2"/>
            <w:vAlign w:val="center"/>
          </w:tcPr>
          <w:p>
            <w:pPr>
              <w:spacing w:line="240" w:lineRule="exact"/>
              <w:jc w:val="center"/>
              <w:rPr>
                <w:rFonts w:hint="eastAsia"/>
                <w:b/>
                <w:color w:val="000000"/>
                <w:sz w:val="20"/>
                <w:szCs w:val="20"/>
              </w:rPr>
            </w:pPr>
            <w:r>
              <w:rPr>
                <w:rFonts w:hint="eastAsia"/>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jc w:val="center"/>
              <w:rPr>
                <w:rFonts w:hint="eastAsia"/>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b/>
                <w:color w:val="000000"/>
                <w:sz w:val="20"/>
                <w:szCs w:val="20"/>
              </w:rPr>
            </w:pPr>
            <w:r>
              <w:rPr>
                <w:rFonts w:hint="eastAsia"/>
                <w:b/>
                <w:color w:val="000000"/>
                <w:sz w:val="20"/>
                <w:szCs w:val="20"/>
              </w:rPr>
              <w:t>郑浩</w:t>
            </w:r>
          </w:p>
        </w:tc>
        <w:tc>
          <w:tcPr>
            <w:tcW w:w="851" w:type="dxa"/>
            <w:gridSpan w:val="2"/>
            <w:vAlign w:val="center"/>
          </w:tcPr>
          <w:p>
            <w:pPr>
              <w:spacing w:line="240" w:lineRule="exact"/>
              <w:jc w:val="center"/>
              <w:rPr>
                <w:rFonts w:hint="eastAsia"/>
                <w:b/>
                <w:color w:val="000000"/>
                <w:sz w:val="20"/>
                <w:szCs w:val="20"/>
              </w:rPr>
            </w:pPr>
            <w:r>
              <w:rPr>
                <w:rFonts w:hint="eastAsia"/>
                <w:b/>
                <w:color w:val="000000"/>
                <w:sz w:val="20"/>
                <w:szCs w:val="20"/>
              </w:rPr>
              <w:t>组员</w:t>
            </w:r>
          </w:p>
        </w:tc>
        <w:tc>
          <w:tcPr>
            <w:tcW w:w="1417" w:type="dxa"/>
            <w:gridSpan w:val="2"/>
            <w:vAlign w:val="center"/>
          </w:tcPr>
          <w:p>
            <w:pPr>
              <w:spacing w:line="240" w:lineRule="exact"/>
              <w:jc w:val="center"/>
              <w:rPr>
                <w:rFonts w:hint="eastAsia"/>
                <w:b/>
                <w:color w:val="000000"/>
                <w:sz w:val="20"/>
                <w:szCs w:val="20"/>
              </w:rPr>
            </w:pPr>
            <w:r>
              <w:rPr>
                <w:rFonts w:hint="eastAsia"/>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tc>
        <w:tc>
          <w:tcPr>
            <w:tcW w:w="2179" w:type="dxa"/>
            <w:gridSpan w:val="2"/>
            <w:vAlign w:val="center"/>
          </w:tcPr>
          <w:p>
            <w:pPr>
              <w:jc w:val="center"/>
              <w:rPr>
                <w:rFonts w:hint="eastAsia"/>
                <w:b/>
                <w:color w:val="000000"/>
                <w:sz w:val="20"/>
                <w:szCs w:val="20"/>
              </w:rPr>
            </w:pPr>
            <w:r>
              <w:rPr>
                <w:rFonts w:hint="eastAsia"/>
                <w:b/>
                <w:color w:val="000000"/>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hAnsi="宋体"/>
                <w:b/>
                <w:color w:val="000000"/>
                <w:sz w:val="20"/>
                <w:szCs w:val="20"/>
              </w:rPr>
            </w:pPr>
            <w:r>
              <w:rPr>
                <w:rFonts w:ascii="宋体" w:hAnsi="宋体"/>
                <w:b/>
                <w:color w:val="000000"/>
                <w:sz w:val="20"/>
                <w:szCs w:val="20"/>
              </w:rPr>
              <w:t>四川德固建材科技有限公司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hAnsi="宋体"/>
                <w:b/>
                <w:color w:val="000000"/>
                <w:sz w:val="20"/>
                <w:szCs w:val="20"/>
                <w:highlight w:val="none"/>
              </w:rPr>
            </w:pPr>
            <w:bookmarkStart w:id="9" w:name="注册地址"/>
            <w:r>
              <w:rPr>
                <w:rFonts w:ascii="宋体" w:hAnsi="宋体"/>
                <w:b/>
                <w:color w:val="000000"/>
                <w:sz w:val="20"/>
                <w:szCs w:val="20"/>
                <w:highlight w:val="none"/>
              </w:rPr>
              <w:t>成都市青白江区工业集中发展区创新路196号</w:t>
            </w:r>
            <w:bookmarkEnd w:id="9"/>
          </w:p>
        </w:tc>
        <w:tc>
          <w:tcPr>
            <w:tcW w:w="1242" w:type="dxa"/>
            <w:vMerge w:val="restart"/>
            <w:vAlign w:val="center"/>
          </w:tcPr>
          <w:p>
            <w:pPr>
              <w:spacing w:line="280" w:lineRule="exact"/>
              <w:jc w:val="center"/>
              <w:rPr>
                <w:rFonts w:ascii="宋体" w:hAns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hAnsi="宋体"/>
                <w:b/>
                <w:color w:val="000000"/>
                <w:sz w:val="20"/>
                <w:szCs w:val="20"/>
              </w:rPr>
            </w:pPr>
            <w:bookmarkStart w:id="10" w:name="注册邮编"/>
            <w:r>
              <w:rPr>
                <w:rFonts w:ascii="宋体" w:hAnsi="宋体"/>
                <w:b/>
                <w:color w:val="000000"/>
                <w:sz w:val="20"/>
                <w:szCs w:val="20"/>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hAnsi="宋体"/>
                <w:b/>
                <w:color w:val="000000"/>
                <w:sz w:val="20"/>
                <w:szCs w:val="20"/>
                <w:highlight w:val="none"/>
              </w:rPr>
            </w:pPr>
            <w:bookmarkStart w:id="11" w:name="经营地址"/>
            <w:bookmarkEnd w:id="11"/>
            <w:r>
              <w:rPr>
                <w:rFonts w:ascii="宋体" w:hAnsi="宋体"/>
                <w:b/>
                <w:color w:val="000000"/>
                <w:sz w:val="20"/>
                <w:szCs w:val="20"/>
                <w:highlight w:val="none"/>
              </w:rPr>
              <w:t>成都市成华区跳蹬河北路199号榜样1-2-1003</w:t>
            </w:r>
          </w:p>
        </w:tc>
        <w:tc>
          <w:tcPr>
            <w:tcW w:w="1242" w:type="dxa"/>
            <w:vMerge w:val="continue"/>
            <w:vAlign w:val="center"/>
          </w:tcPr>
          <w:p>
            <w:pPr>
              <w:spacing w:line="280" w:lineRule="exact"/>
              <w:jc w:val="center"/>
              <w:rPr>
                <w:rFonts w:ascii="宋体" w:hAnsi="宋体"/>
                <w:b/>
                <w:color w:val="000000"/>
                <w:sz w:val="20"/>
                <w:szCs w:val="20"/>
              </w:rPr>
            </w:pPr>
          </w:p>
        </w:tc>
        <w:tc>
          <w:tcPr>
            <w:tcW w:w="1558" w:type="dxa"/>
          </w:tcPr>
          <w:p>
            <w:pPr>
              <w:spacing w:line="280" w:lineRule="exact"/>
              <w:rPr>
                <w:rFonts w:ascii="宋体" w:hAns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hAnsi="宋体"/>
                <w:b/>
                <w:color w:val="000000"/>
                <w:sz w:val="20"/>
                <w:szCs w:val="20"/>
                <w:highlight w:val="none"/>
              </w:rPr>
            </w:pPr>
            <w:r>
              <w:rPr>
                <w:rFonts w:ascii="宋体" w:hAnsi="宋体"/>
                <w:b/>
                <w:color w:val="000000"/>
                <w:sz w:val="20"/>
                <w:szCs w:val="20"/>
                <w:highlight w:val="none"/>
              </w:rPr>
              <w:t>成都市青白江区工业集中发展区创新路196号</w:t>
            </w:r>
          </w:p>
        </w:tc>
        <w:tc>
          <w:tcPr>
            <w:tcW w:w="1242" w:type="dxa"/>
            <w:vMerge w:val="continue"/>
            <w:vAlign w:val="center"/>
          </w:tcPr>
          <w:p>
            <w:pPr>
              <w:spacing w:line="280" w:lineRule="exact"/>
              <w:jc w:val="center"/>
              <w:rPr>
                <w:rFonts w:ascii="宋体" w:hAnsi="宋体"/>
                <w:b/>
                <w:color w:val="000000"/>
                <w:sz w:val="20"/>
                <w:szCs w:val="20"/>
              </w:rPr>
            </w:pPr>
          </w:p>
        </w:tc>
        <w:tc>
          <w:tcPr>
            <w:tcW w:w="1558" w:type="dxa"/>
          </w:tcPr>
          <w:p>
            <w:pPr>
              <w:spacing w:line="280" w:lineRule="exact"/>
              <w:rPr>
                <w:rFonts w:ascii="宋体" w:hAnsi="宋体"/>
                <w:b/>
                <w:color w:val="000000"/>
                <w:sz w:val="20"/>
                <w:szCs w:val="20"/>
              </w:rPr>
            </w:pPr>
            <w:bookmarkStart w:id="13" w:name="生产邮编Add1"/>
            <w:r>
              <w:rPr>
                <w:rFonts w:ascii="宋体" w:hAnsi="宋体"/>
                <w:b/>
                <w:color w:val="000000"/>
                <w:sz w:val="20"/>
                <w:szCs w:val="20"/>
              </w:rPr>
              <w:t>618000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hAnsi="宋体"/>
                <w:b/>
                <w:color w:val="000000"/>
                <w:sz w:val="20"/>
                <w:szCs w:val="20"/>
              </w:rPr>
            </w:pPr>
            <w:bookmarkStart w:id="14" w:name="联系人"/>
            <w:r>
              <w:rPr>
                <w:rFonts w:ascii="宋体" w:hAnsi="宋体"/>
                <w:b/>
                <w:color w:val="000000"/>
                <w:sz w:val="20"/>
                <w:szCs w:val="20"/>
              </w:rPr>
              <w:t>陈雪丹</w:t>
            </w:r>
            <w:bookmarkEnd w:id="14"/>
          </w:p>
        </w:tc>
        <w:tc>
          <w:tcPr>
            <w:tcW w:w="1463" w:type="dxa"/>
            <w:vAlign w:val="center"/>
          </w:tcPr>
          <w:p>
            <w:pPr>
              <w:spacing w:line="280" w:lineRule="exact"/>
              <w:jc w:val="center"/>
              <w:rPr>
                <w:rFonts w:ascii="宋体" w:hAnsi="宋体"/>
                <w:b/>
                <w:color w:val="000000"/>
                <w:sz w:val="20"/>
                <w:szCs w:val="20"/>
              </w:rPr>
            </w:pPr>
            <w:r>
              <w:rPr>
                <w:rFonts w:hint="eastAsia" w:ascii="宋体" w:hAnsi="宋体"/>
                <w:b/>
                <w:color w:val="000000"/>
                <w:sz w:val="20"/>
                <w:szCs w:val="20"/>
              </w:rPr>
              <w:t>电话</w:t>
            </w:r>
            <w:r>
              <w:rPr>
                <w:rFonts w:ascii="宋体" w:hAnsi="宋体"/>
                <w:b/>
                <w:color w:val="000000"/>
                <w:sz w:val="20"/>
                <w:szCs w:val="20"/>
              </w:rPr>
              <w:t>.</w:t>
            </w:r>
          </w:p>
        </w:tc>
        <w:tc>
          <w:tcPr>
            <w:tcW w:w="2180" w:type="dxa"/>
            <w:vAlign w:val="center"/>
          </w:tcPr>
          <w:p>
            <w:pPr>
              <w:spacing w:line="280" w:lineRule="exact"/>
              <w:rPr>
                <w:rFonts w:ascii="宋体" w:hAnsi="宋体"/>
                <w:b/>
                <w:color w:val="000000"/>
                <w:sz w:val="20"/>
                <w:szCs w:val="20"/>
              </w:rPr>
            </w:pPr>
            <w:bookmarkStart w:id="15" w:name="联系人手机"/>
            <w:r>
              <w:rPr>
                <w:rFonts w:ascii="宋体" w:hAnsi="宋体"/>
                <w:b/>
                <w:color w:val="000000"/>
                <w:sz w:val="20"/>
                <w:szCs w:val="20"/>
              </w:rPr>
              <w:t>13880553112</w:t>
            </w:r>
            <w:bookmarkEnd w:id="15"/>
          </w:p>
        </w:tc>
        <w:tc>
          <w:tcPr>
            <w:tcW w:w="1242" w:type="dxa"/>
            <w:vAlign w:val="center"/>
          </w:tcPr>
          <w:p>
            <w:pPr>
              <w:spacing w:line="280" w:lineRule="exact"/>
              <w:jc w:val="center"/>
              <w:rPr>
                <w:rFonts w:ascii="宋体" w:hAns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hAnsi="宋体"/>
                <w:b/>
                <w:color w:val="000000"/>
                <w:sz w:val="20"/>
                <w:szCs w:val="20"/>
              </w:rPr>
            </w:pPr>
            <w:bookmarkStart w:id="16" w:name="联系人传真Add1"/>
            <w:bookmarkEnd w:id="16"/>
            <w:bookmarkStart w:id="17" w:name="联系人电话"/>
            <w:r>
              <w:rPr>
                <w:rFonts w:ascii="宋体" w:hAnsi="宋体"/>
                <w:b/>
                <w:color w:val="000000"/>
                <w:sz w:val="20"/>
                <w:szCs w:val="20"/>
              </w:rPr>
              <w:t>028-86627675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hAnsi="宋体"/>
                <w:b/>
                <w:color w:val="000000"/>
                <w:sz w:val="20"/>
                <w:szCs w:val="20"/>
              </w:rPr>
            </w:pPr>
            <w:bookmarkStart w:id="18" w:name="法人"/>
            <w:r>
              <w:rPr>
                <w:rFonts w:ascii="宋体" w:hAnsi="宋体"/>
                <w:b/>
                <w:color w:val="000000"/>
                <w:sz w:val="20"/>
                <w:szCs w:val="20"/>
              </w:rPr>
              <w:t>李俊</w:t>
            </w:r>
            <w:bookmarkEnd w:id="18"/>
          </w:p>
        </w:tc>
        <w:tc>
          <w:tcPr>
            <w:tcW w:w="1463" w:type="dxa"/>
            <w:vAlign w:val="center"/>
          </w:tcPr>
          <w:p>
            <w:pPr>
              <w:jc w:val="center"/>
              <w:rPr>
                <w:rFonts w:ascii="宋体" w:hAnsi="宋体"/>
                <w:b/>
                <w:color w:val="000000"/>
                <w:sz w:val="20"/>
                <w:szCs w:val="20"/>
              </w:rPr>
            </w:pPr>
            <w:r>
              <w:rPr>
                <w:rFonts w:hint="eastAsia" w:ascii="宋体" w:hAnsi="宋体"/>
                <w:b/>
                <w:color w:val="000000"/>
                <w:sz w:val="20"/>
                <w:szCs w:val="20"/>
              </w:rPr>
              <w:t>管理者代表</w:t>
            </w:r>
          </w:p>
        </w:tc>
        <w:tc>
          <w:tcPr>
            <w:tcW w:w="2180" w:type="dxa"/>
          </w:tcPr>
          <w:p>
            <w:pPr>
              <w:rPr>
                <w:rFonts w:ascii="宋体" w:hAnsi="宋体"/>
                <w:b/>
                <w:color w:val="000000"/>
                <w:sz w:val="20"/>
                <w:szCs w:val="20"/>
              </w:rPr>
            </w:pPr>
            <w:r>
              <w:rPr>
                <w:rFonts w:ascii="宋体" w:hAnsi="宋体"/>
                <w:b/>
                <w:color w:val="000000"/>
                <w:sz w:val="20"/>
                <w:szCs w:val="20"/>
              </w:rPr>
              <w:t>陈雪丹</w:t>
            </w:r>
          </w:p>
        </w:tc>
        <w:tc>
          <w:tcPr>
            <w:tcW w:w="1242" w:type="dxa"/>
          </w:tcPr>
          <w:p>
            <w:pPr>
              <w:jc w:val="center"/>
              <w:rPr>
                <w:rFonts w:ascii="宋体" w:hAnsi="宋体"/>
                <w:b/>
                <w:color w:val="000000"/>
                <w:sz w:val="20"/>
                <w:szCs w:val="20"/>
              </w:rPr>
            </w:pPr>
            <w:r>
              <w:rPr>
                <w:rFonts w:hint="eastAsia" w:ascii="宋体" w:hAnsi="宋体"/>
                <w:b/>
                <w:color w:val="000000"/>
                <w:sz w:val="20"/>
                <w:szCs w:val="20"/>
              </w:rPr>
              <w:t>邮箱</w:t>
            </w:r>
          </w:p>
        </w:tc>
        <w:tc>
          <w:tcPr>
            <w:tcW w:w="1558" w:type="dxa"/>
          </w:tcPr>
          <w:p>
            <w:pPr>
              <w:rPr>
                <w:rFonts w:ascii="宋体" w:hAns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hint="eastAsia" w:ascii="宋体" w:hAnsi="宋体"/>
                <w:b/>
                <w:color w:val="000000"/>
                <w:sz w:val="20"/>
                <w:szCs w:val="20"/>
              </w:rPr>
              <w:t>混凝土（砂浆）外加剂的研发和生产</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hint="eastAsia"/>
                <w:b/>
                <w:szCs w:val="21"/>
              </w:rPr>
              <w:t>12.05.04</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行政部</w:t>
      </w:r>
      <w:r>
        <w:rPr>
          <w:rFonts w:ascii="宋体" w:hAnsi="宋体"/>
          <w:b/>
          <w:color w:val="000000"/>
          <w:sz w:val="20"/>
          <w:szCs w:val="20"/>
          <w:u w:val="single"/>
        </w:rPr>
        <w:t xml:space="preserve"> </w:t>
      </w:r>
      <w:r>
        <w:rPr>
          <w:rFonts w:hint="eastAsia" w:ascii="宋体" w:hAnsi="宋体"/>
          <w:b/>
          <w:color w:val="000000"/>
          <w:sz w:val="20"/>
          <w:szCs w:val="20"/>
          <w:u w:val="single"/>
        </w:rPr>
        <w:t>、</w:t>
      </w:r>
      <w:r>
        <w:rPr>
          <w:rFonts w:hint="eastAsia" w:ascii="宋体" w:hAnsi="宋体"/>
          <w:b/>
          <w:color w:val="000000"/>
          <w:sz w:val="20"/>
          <w:szCs w:val="20"/>
          <w:u w:val="single"/>
          <w:lang w:eastAsia="zh-CN"/>
        </w:rPr>
        <w:t>研发</w:t>
      </w:r>
      <w:r>
        <w:rPr>
          <w:rFonts w:hint="eastAsia" w:ascii="宋体" w:hAnsi="宋体"/>
          <w:b/>
          <w:color w:val="000000"/>
          <w:sz w:val="20"/>
          <w:szCs w:val="20"/>
          <w:u w:val="single"/>
        </w:rPr>
        <w:t>部</w:t>
      </w:r>
      <w:r>
        <w:rPr>
          <w:rFonts w:ascii="宋体" w:hAnsi="宋体"/>
          <w:b/>
          <w:color w:val="000000"/>
          <w:sz w:val="20"/>
          <w:szCs w:val="20"/>
          <w:u w:val="single"/>
        </w:rPr>
        <w:t xml:space="preserve"> </w:t>
      </w:r>
      <w:r>
        <w:rPr>
          <w:rFonts w:hint="eastAsia" w:ascii="宋体" w:hAnsi="宋体"/>
          <w:b/>
          <w:color w:val="000000"/>
          <w:sz w:val="20"/>
          <w:szCs w:val="20"/>
          <w:u w:val="single"/>
        </w:rPr>
        <w:t>、</w:t>
      </w:r>
      <w:r>
        <w:rPr>
          <w:rFonts w:hint="eastAsia" w:ascii="宋体" w:hAnsi="宋体"/>
          <w:b/>
          <w:color w:val="000000"/>
          <w:sz w:val="20"/>
          <w:szCs w:val="20"/>
          <w:u w:val="single"/>
          <w:lang w:eastAsia="zh-CN"/>
        </w:rPr>
        <w:t>生产部</w:t>
      </w:r>
      <w:r>
        <w:rPr>
          <w:rFonts w:ascii="宋体" w:hAnsi="宋体"/>
          <w:b/>
          <w:color w:val="000000"/>
          <w:sz w:val="20"/>
          <w:szCs w:val="20"/>
          <w:u w:val="single"/>
        </w:rPr>
        <w:t xml:space="preserve">、市场部       </w:t>
      </w:r>
    </w:p>
    <w:p>
      <w:pPr>
        <w:spacing w:line="300" w:lineRule="auto"/>
        <w:ind w:firstLine="269" w:firstLineChars="134"/>
        <w:rPr>
          <w:rFonts w:ascii="宋体" w:hAns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bookmarkStart w:id="22" w:name="生产地址"/>
      <w:r>
        <w:rPr>
          <w:rFonts w:hint="eastAsia" w:ascii="宋体" w:hAnsi="宋体"/>
          <w:b/>
          <w:color w:val="000000"/>
          <w:sz w:val="20"/>
          <w:szCs w:val="20"/>
          <w:u w:val="single"/>
        </w:rPr>
        <w:t>成都市成华区跳蹬河北路199号榜样1-2-1003</w:t>
      </w:r>
      <w:bookmarkEnd w:id="22"/>
      <w:r>
        <w:rPr>
          <w:rFonts w:hint="eastAsia" w:ascii="宋体" w:hAnsi="宋体"/>
          <w:b/>
          <w:color w:val="000000"/>
          <w:sz w:val="20"/>
          <w:szCs w:val="20"/>
          <w:u w:val="single"/>
        </w:rPr>
        <w:t xml:space="preserve"> </w:t>
      </w:r>
      <w:r>
        <w:rPr>
          <w:rFonts w:hint="eastAsia" w:ascii="宋体" w:hAnsi="宋体"/>
          <w:b/>
          <w:color w:val="000000"/>
          <w:sz w:val="20"/>
          <w:szCs w:val="20"/>
          <w:u w:val="single"/>
          <w:lang w:val="en-US" w:eastAsia="zh-CN"/>
        </w:rPr>
        <w:t>(行政部、市场部）、</w:t>
      </w:r>
      <w:r>
        <w:rPr>
          <w:rFonts w:hint="eastAsia" w:ascii="宋体" w:hAnsi="宋体"/>
          <w:b/>
          <w:color w:val="000000"/>
          <w:sz w:val="20"/>
          <w:szCs w:val="20"/>
          <w:u w:val="single"/>
        </w:rPr>
        <w:t>成都市青白江区工业集中发展区创新路196号</w:t>
      </w:r>
      <w:r>
        <w:rPr>
          <w:rFonts w:hint="eastAsia" w:ascii="宋体" w:hAnsi="宋体"/>
          <w:b/>
          <w:color w:val="000000"/>
          <w:sz w:val="20"/>
          <w:szCs w:val="20"/>
          <w:u w:val="single"/>
          <w:lang w:eastAsia="zh-CN"/>
        </w:rPr>
        <w:t>（研发部、生产部）</w:t>
      </w:r>
      <w:r>
        <w:rPr>
          <w:rFonts w:hint="eastAsia" w:ascii="宋体" w:hAnsi="宋体"/>
          <w:b/>
          <w:color w:val="000000"/>
          <w:sz w:val="20"/>
          <w:szCs w:val="20"/>
          <w:u w:val="single"/>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混凝土（砂浆）外加剂的研发和生产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公司部门设置：行政部、市场部、研发部、</w:t>
            </w:r>
            <w:r>
              <w:rPr>
                <w:rFonts w:hint="eastAsia" w:ascii="宋体" w:hAnsi="宋体"/>
                <w:b/>
                <w:color w:val="000000"/>
                <w:sz w:val="20"/>
                <w:szCs w:val="20"/>
                <w:lang w:eastAsia="zh-CN"/>
              </w:rPr>
              <w:t>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研发部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受审核方位于：成都市成</w:t>
            </w:r>
            <w:r>
              <w:rPr>
                <w:rFonts w:hint="eastAsia" w:ascii="宋体" w:hAnsi="宋体"/>
                <w:color w:val="000000"/>
                <w:sz w:val="20"/>
                <w:szCs w:val="20"/>
                <w:highlight w:val="none"/>
              </w:rPr>
              <w:t>华区跳蹬河北路199号榜样1-2-1003</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utoSpaceDE w:val="0"/>
              <w:autoSpaceDN w:val="0"/>
              <w:adjustRightInd w:val="0"/>
              <w:spacing w:line="440" w:lineRule="atLeast"/>
              <w:rPr>
                <w:rFonts w:ascii="宋体"/>
                <w:color w:val="000000"/>
                <w:sz w:val="20"/>
                <w:szCs w:val="20"/>
              </w:rPr>
            </w:pPr>
            <w:r>
              <w:rPr>
                <w:rFonts w:hint="eastAsia" w:ascii="宋体" w:hAnsi="宋体"/>
                <w:color w:val="000000"/>
                <w:sz w:val="20"/>
                <w:szCs w:val="20"/>
                <w:highlight w:val="none"/>
                <w:lang w:val="zh-CN"/>
              </w:rPr>
              <w:t>配料——复配——搅拌——检验——出厂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w:t>
            </w:r>
            <w:r>
              <w:rPr>
                <w:rFonts w:hint="eastAsia" w:ascii="宋体" w:hAnsi="宋体"/>
                <w:color w:val="000000"/>
                <w:sz w:val="20"/>
                <w:szCs w:val="20"/>
                <w:highlight w:val="none"/>
              </w:rPr>
              <w:t>键过程有：</w:t>
            </w:r>
            <w:r>
              <w:rPr>
                <w:rFonts w:hint="eastAsia" w:ascii="宋体" w:hAnsi="宋体"/>
                <w:color w:val="000000"/>
                <w:sz w:val="20"/>
                <w:szCs w:val="20"/>
                <w:highlight w:val="none"/>
                <w:lang w:eastAsia="zh-CN"/>
              </w:rPr>
              <w:t>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w:t>
            </w:r>
            <w:r>
              <w:rPr>
                <w:rFonts w:hint="eastAsia" w:ascii="宋体" w:hAnsi="宋体"/>
                <w:color w:val="000000"/>
                <w:sz w:val="20"/>
                <w:szCs w:val="20"/>
                <w:highlight w:val="none"/>
              </w:rPr>
              <w:t>制文件有：</w:t>
            </w:r>
            <w:r>
              <w:rPr>
                <w:rFonts w:hint="eastAsia" w:ascii="宋体" w:hAnsi="宋体"/>
                <w:color w:val="000000"/>
                <w:sz w:val="20"/>
                <w:szCs w:val="20"/>
                <w:highlight w:val="none"/>
                <w:lang w:eastAsia="zh-CN"/>
              </w:rPr>
              <w:t>设计开发</w:t>
            </w:r>
            <w:r>
              <w:rPr>
                <w:rFonts w:hint="eastAsia" w:ascii="宋体" w:hAnsi="宋体"/>
                <w:color w:val="000000"/>
                <w:sz w:val="20"/>
                <w:szCs w:val="20"/>
                <w:highlight w:val="none"/>
              </w:rPr>
              <w:t>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z w:val="20"/>
                <w:szCs w:val="20"/>
              </w:rPr>
              <w:t>主要设</w:t>
            </w:r>
            <w:r>
              <w:rPr>
                <w:rFonts w:hint="eastAsia" w:ascii="宋体" w:hAnsi="宋体"/>
                <w:color w:val="000000"/>
                <w:sz w:val="20"/>
                <w:szCs w:val="20"/>
                <w:highlight w:val="none"/>
              </w:rPr>
              <w:t>备：JJ-5水泥胶砂搅拌机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NJ-160水泥净浆搅拌机</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HJW-50单卧轴强制式混凝土搅拌机等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w:t>
            </w:r>
            <w:r>
              <w:rPr>
                <w:rFonts w:hint="eastAsia" w:ascii="宋体"/>
                <w:color w:val="000000"/>
                <w:sz w:val="20"/>
                <w:szCs w:val="20"/>
                <w:highlight w:val="none"/>
              </w:rPr>
              <w:t>和测量设备（请简述主要监视和测量设备）：</w:t>
            </w:r>
            <w:r>
              <w:rPr>
                <w:rFonts w:hint="eastAsia" w:ascii="宋体"/>
                <w:color w:val="000000"/>
                <w:sz w:val="20"/>
                <w:szCs w:val="20"/>
                <w:highlight w:val="none"/>
                <w:lang w:eastAsia="zh-CN"/>
              </w:rPr>
              <w:t>比重计、电子秤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组织员工人数：15人，其中管理人员：人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eastAsia="宋体"/>
                <w:lang w:eastAsia="zh-CN"/>
              </w:rPr>
            </w:pPr>
            <w:r>
              <w:rPr>
                <w:rFonts w:hint="eastAsia" w:ascii="宋体" w:hAnsi="宋体"/>
                <w:b/>
                <w:color w:val="000000"/>
                <w:sz w:val="20"/>
                <w:szCs w:val="20"/>
              </w:rPr>
              <w:t>重点审核部门：研发部、</w:t>
            </w:r>
            <w:r>
              <w:rPr>
                <w:rFonts w:hint="eastAsia" w:ascii="宋体" w:hAnsi="宋体"/>
                <w:b/>
                <w:color w:val="000000"/>
                <w:sz w:val="20"/>
                <w:szCs w:val="20"/>
                <w:lang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highlight w:val="none"/>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Cs w:val="21"/>
                <w:highlight w:val="none"/>
              </w:rPr>
              <w:t>建立有《内部审核控制程序》，于2019年</w:t>
            </w:r>
            <w:r>
              <w:rPr>
                <w:rFonts w:hint="eastAsia"/>
                <w:szCs w:val="21"/>
                <w:highlight w:val="none"/>
                <w:lang w:val="en-US" w:eastAsia="zh-CN"/>
              </w:rPr>
              <w:t>7</w:t>
            </w:r>
            <w:r>
              <w:rPr>
                <w:rFonts w:hint="eastAsia"/>
                <w:szCs w:val="21"/>
                <w:highlight w:val="none"/>
              </w:rPr>
              <w:t>月</w:t>
            </w:r>
            <w:r>
              <w:rPr>
                <w:rFonts w:hint="eastAsia"/>
                <w:szCs w:val="21"/>
                <w:highlight w:val="none"/>
                <w:lang w:val="en-US" w:eastAsia="zh-CN"/>
              </w:rPr>
              <w:t>9</w:t>
            </w:r>
            <w:r>
              <w:rPr>
                <w:rFonts w:hint="eastAsia"/>
                <w:szCs w:val="21"/>
                <w:highlight w:val="none"/>
              </w:rPr>
              <w:t xml:space="preserve">日进行了内部审核。内部审核组组成:   组长： </w:t>
            </w:r>
            <w:r>
              <w:rPr>
                <w:rFonts w:hint="eastAsia"/>
                <w:szCs w:val="21"/>
                <w:highlight w:val="none"/>
                <w:lang w:eastAsia="zh-CN"/>
              </w:rPr>
              <w:t>李俊</w:t>
            </w:r>
          </w:p>
          <w:p>
            <w:pPr>
              <w:spacing w:line="400" w:lineRule="exact"/>
              <w:rPr>
                <w:rFonts w:ascii="宋体"/>
                <w:b/>
                <w:color w:val="000000"/>
                <w:sz w:val="20"/>
                <w:szCs w:val="20"/>
                <w:highlight w:val="none"/>
              </w:rPr>
            </w:pPr>
            <w:r>
              <w:rPr>
                <w:rFonts w:hint="eastAsia"/>
                <w:szCs w:val="21"/>
                <w:highlight w:val="none"/>
              </w:rPr>
              <w:t xml:space="preserve">                  组员： </w:t>
            </w:r>
            <w:r>
              <w:rPr>
                <w:rFonts w:hint="eastAsia"/>
                <w:szCs w:val="21"/>
                <w:highlight w:val="none"/>
                <w:lang w:eastAsia="zh-CN"/>
              </w:rPr>
              <w:t>廖义松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spacing w:line="400" w:lineRule="exact"/>
              <w:rPr>
                <w:szCs w:val="21"/>
                <w:highlight w:val="none"/>
              </w:rPr>
            </w:pPr>
            <w:r>
              <w:rPr>
                <w:rFonts w:hint="eastAsia"/>
                <w:szCs w:val="21"/>
                <w:highlight w:val="none"/>
              </w:rPr>
              <w:t>审核范围:管理体系涉及的公司所有部门及活动场所。</w:t>
            </w:r>
          </w:p>
          <w:p>
            <w:pPr>
              <w:spacing w:line="400" w:lineRule="exact"/>
              <w:rPr>
                <w:szCs w:val="21"/>
                <w:highlight w:val="none"/>
              </w:rPr>
            </w:pPr>
            <w:r>
              <w:rPr>
                <w:rFonts w:hint="eastAsia"/>
                <w:szCs w:val="21"/>
                <w:highlight w:val="none"/>
              </w:rPr>
              <w:t>审核准则：a.GB/T 19001:2016、标准； b.本公司管理体系文件；c.相关的法律法规； d.顾客及相关方要求等。</w:t>
            </w:r>
          </w:p>
          <w:p>
            <w:pPr>
              <w:spacing w:line="400" w:lineRule="exact"/>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8</w:t>
            </w:r>
            <w:r>
              <w:rPr>
                <w:rFonts w:hint="eastAsia" w:ascii="宋体" w:hAnsi="宋体"/>
                <w:kern w:val="0"/>
                <w:szCs w:val="21"/>
              </w:rPr>
              <w:t>月5日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ind w:firstLine="261" w:firstLineChars="100"/>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color w:val="000000"/>
          <w:sz w:val="20"/>
          <w:szCs w:val="20"/>
          <w:u w:val="single"/>
        </w:rPr>
        <w:t xml:space="preserve"> </w:t>
      </w:r>
      <w:r>
        <w:rPr>
          <w:rFonts w:hint="eastAsia" w:ascii="宋体" w:hAnsi="宋体"/>
          <w:szCs w:val="21"/>
          <w:u w:val="single"/>
        </w:rPr>
        <w:t xml:space="preserve">混凝土（砂浆）外加剂的研发和生产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eastAsia="宋体"/>
          <w:b/>
          <w:color w:val="000000"/>
          <w:lang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2019.08.2</w:t>
      </w:r>
      <w:r>
        <w:rPr>
          <w:rFonts w:hint="eastAsia" w:ascii="宋体" w:hAnsi="宋体"/>
          <w:b/>
          <w:color w:val="000000"/>
          <w:lang w:val="en-US" w:eastAsia="zh-CN"/>
        </w:rPr>
        <w:t>8</w:t>
      </w:r>
    </w:p>
    <w:p>
      <w:pPr>
        <w:ind w:firstLine="5644" w:firstLineChars="2677"/>
        <w:rPr>
          <w:rFonts w:ascii="宋体" w:hAnsi="宋体"/>
          <w:b/>
          <w:color w:val="000000"/>
        </w:rPr>
      </w:pPr>
    </w:p>
    <w:p>
      <w:pPr>
        <w:ind w:firstLine="5644" w:firstLineChars="2677"/>
        <w:rPr>
          <w:rFonts w:ascii="宋体" w:hAnsi="宋体"/>
          <w:b/>
          <w:color w:val="000000"/>
        </w:rPr>
      </w:pPr>
    </w:p>
    <w:p>
      <w:pPr>
        <w:ind w:firstLine="5644" w:firstLineChars="2677"/>
        <w:rPr>
          <w:rFonts w:ascii="宋体" w:hAnsi="宋体"/>
          <w:b/>
          <w:color w:val="000000"/>
        </w:rPr>
      </w:pPr>
    </w:p>
    <w:p>
      <w:pPr>
        <w:ind w:firstLine="5644" w:firstLineChars="2677"/>
        <w:rPr>
          <w:rFonts w:ascii="宋体" w:hAnsi="宋体"/>
          <w:b/>
          <w:color w:val="000000"/>
        </w:rPr>
      </w:pPr>
      <w:bookmarkStart w:id="23" w:name="_GoBack"/>
      <w:bookmarkEnd w:id="23"/>
    </w:p>
    <w:p>
      <w:pPr>
        <w:ind w:firstLine="5644" w:firstLineChars="2677"/>
        <w:rPr>
          <w:rFonts w:ascii="宋体" w:hAnsi="宋体"/>
          <w:b/>
          <w:color w:val="000000"/>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受审核方：四川德固建材科技有限公司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tabs>
                <w:tab w:val="center" w:pos="5737"/>
                <w:tab w:val="clear" w:pos="4153"/>
              </w:tabs>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ascii="宋体" w:hAnsi="宋体" w:cs="宋体"/>
                <w:color w:val="000000"/>
                <w:sz w:val="24"/>
                <w:szCs w:val="24"/>
              </w:rPr>
            </w:pPr>
            <w:r>
              <w:rPr>
                <w:rFonts w:hint="eastAsia" w:ascii="宋体" w:hAnsi="宋体" w:cs="宋体"/>
                <w:b w:val="0"/>
                <w:bCs w:val="0"/>
                <w:color w:val="000000"/>
                <w:sz w:val="24"/>
                <w:szCs w:val="24"/>
                <w:highlight w:val="none"/>
                <w:lang w:eastAsia="zh-CN"/>
              </w:rPr>
              <w:t>在用检具水泥胶砂流动度测定仪、台秤未能提供有效年检或校准证据</w:t>
            </w:r>
          </w:p>
        </w:tc>
        <w:tc>
          <w:tcPr>
            <w:tcW w:w="1688" w:type="dxa"/>
            <w:vAlign w:val="center"/>
          </w:tcPr>
          <w:p>
            <w:pPr>
              <w:pStyle w:val="4"/>
              <w:pBdr>
                <w:bottom w:val="none" w:color="auto" w:sz="0" w:space="0"/>
              </w:pBdr>
              <w:tabs>
                <w:tab w:val="center" w:pos="5737"/>
                <w:tab w:val="clear" w:pos="4153"/>
              </w:tabs>
              <w:jc w:val="both"/>
              <w:rPr>
                <w:rFonts w:ascii="宋体" w:hAnsi="宋体" w:cs="宋体"/>
                <w:color w:val="000000"/>
                <w:sz w:val="24"/>
                <w:szCs w:val="24"/>
              </w:rPr>
            </w:pPr>
            <w:r>
              <w:rPr>
                <w:rFonts w:hint="eastAsia" w:ascii="宋体" w:hAnsi="宋体" w:cs="宋体"/>
                <w:b w:val="0"/>
                <w:bCs w:val="0"/>
                <w:color w:val="000000"/>
                <w:sz w:val="24"/>
                <w:szCs w:val="24"/>
                <w:highlight w:val="none"/>
                <w:lang w:eastAsia="zh-CN"/>
              </w:rPr>
              <w:t>GB/T 19001-2016idtISO 9001:2015</w:t>
            </w:r>
          </w:p>
        </w:tc>
        <w:tc>
          <w:tcPr>
            <w:tcW w:w="1811" w:type="dxa"/>
            <w:vAlign w:val="center"/>
          </w:tcPr>
          <w:p>
            <w:pPr>
              <w:pStyle w:val="4"/>
              <w:pBdr>
                <w:bottom w:val="none" w:color="auto" w:sz="0" w:space="0"/>
              </w:pBdr>
              <w:tabs>
                <w:tab w:val="center" w:pos="5737"/>
                <w:tab w:val="clear" w:pos="4153"/>
              </w:tabs>
              <w:jc w:val="both"/>
              <w:rPr>
                <w:rFonts w:ascii="宋体" w:hAnsi="宋体" w:cs="宋体"/>
                <w:color w:val="000000"/>
                <w:sz w:val="24"/>
                <w:szCs w:val="24"/>
              </w:rPr>
            </w:pPr>
            <w:r>
              <w:rPr>
                <w:rFonts w:hint="eastAsia" w:ascii="宋体" w:hAnsi="宋体" w:cs="宋体"/>
                <w:b w:val="0"/>
                <w:bCs w:val="0"/>
                <w:color w:val="000000"/>
                <w:sz w:val="24"/>
                <w:szCs w:val="24"/>
                <w:highlight w:val="none"/>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  项，共  项）</w:t>
            </w:r>
          </w:p>
          <w:p>
            <w:pPr>
              <w:spacing w:line="280" w:lineRule="exact"/>
              <w:rPr>
                <w:b/>
                <w:color w:val="000000"/>
                <w:sz w:val="22"/>
                <w:szCs w:val="22"/>
              </w:rPr>
            </w:pPr>
            <w:r>
              <w:rPr>
                <w:rFonts w:hint="eastAsia"/>
                <w:b/>
                <w:color w:val="000000"/>
                <w:sz w:val="22"/>
                <w:szCs w:val="22"/>
              </w:rPr>
              <w:t>审核员：</w:t>
            </w:r>
          </w:p>
          <w:p>
            <w:pPr>
              <w:spacing w:line="280" w:lineRule="exact"/>
              <w:ind w:firstLine="3975" w:firstLineChars="18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年 </w:t>
            </w:r>
            <w:r>
              <w:rPr>
                <w:rFonts w:hint="eastAsia"/>
                <w:b/>
                <w:color w:val="000000"/>
                <w:sz w:val="22"/>
                <w:szCs w:val="22"/>
                <w:lang w:val="en-US" w:eastAsia="zh-CN"/>
              </w:rPr>
              <w:t xml:space="preserve"> 08 </w:t>
            </w:r>
            <w:r>
              <w:rPr>
                <w:rFonts w:hint="eastAsia"/>
                <w:b/>
                <w:color w:val="000000"/>
                <w:sz w:val="22"/>
                <w:szCs w:val="22"/>
              </w:rPr>
              <w:t xml:space="preserve">月 </w:t>
            </w:r>
            <w:r>
              <w:rPr>
                <w:rFonts w:hint="eastAsia"/>
                <w:b/>
                <w:color w:val="000000"/>
                <w:sz w:val="22"/>
                <w:szCs w:val="22"/>
                <w:lang w:val="en-US" w:eastAsia="zh-CN"/>
              </w:rPr>
              <w:t xml:space="preserve"> 28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日期：  </w:t>
            </w:r>
            <w:r>
              <w:rPr>
                <w:rFonts w:hint="eastAsia"/>
                <w:b/>
                <w:color w:val="000000"/>
                <w:sz w:val="22"/>
                <w:szCs w:val="22"/>
                <w:lang w:val="en-US" w:eastAsia="zh-CN"/>
              </w:rPr>
              <w:t xml:space="preserve">  2019</w:t>
            </w:r>
            <w:r>
              <w:rPr>
                <w:rFonts w:hint="eastAsia"/>
                <w:b/>
                <w:color w:val="000000"/>
                <w:sz w:val="22"/>
                <w:szCs w:val="22"/>
              </w:rPr>
              <w:t xml:space="preserve">年 </w:t>
            </w:r>
            <w:r>
              <w:rPr>
                <w:rFonts w:hint="eastAsia"/>
                <w:b/>
                <w:color w:val="000000"/>
                <w:sz w:val="22"/>
                <w:szCs w:val="22"/>
                <w:lang w:val="en-US" w:eastAsia="zh-CN"/>
              </w:rPr>
              <w:t xml:space="preserve"> 08 </w:t>
            </w:r>
            <w:r>
              <w:rPr>
                <w:rFonts w:hint="eastAsia"/>
                <w:b/>
                <w:color w:val="000000"/>
                <w:sz w:val="22"/>
                <w:szCs w:val="22"/>
              </w:rPr>
              <w:t xml:space="preserve">月 </w:t>
            </w:r>
            <w:r>
              <w:rPr>
                <w:rFonts w:hint="eastAsia"/>
                <w:b/>
                <w:color w:val="000000"/>
                <w:sz w:val="22"/>
                <w:szCs w:val="22"/>
                <w:lang w:val="en-US" w:eastAsia="zh-CN"/>
              </w:rPr>
              <w:t xml:space="preserve"> 28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0169"/>
    <w:rsid w:val="00150169"/>
    <w:rsid w:val="00315628"/>
    <w:rsid w:val="007434E8"/>
    <w:rsid w:val="007947B8"/>
    <w:rsid w:val="00B947F4"/>
    <w:rsid w:val="00E66BD5"/>
    <w:rsid w:val="01462EDE"/>
    <w:rsid w:val="027E70A0"/>
    <w:rsid w:val="02AE68CB"/>
    <w:rsid w:val="02FC31D4"/>
    <w:rsid w:val="05C15DB5"/>
    <w:rsid w:val="076F7FA8"/>
    <w:rsid w:val="0865770E"/>
    <w:rsid w:val="09C27461"/>
    <w:rsid w:val="09F31BB6"/>
    <w:rsid w:val="0B884B77"/>
    <w:rsid w:val="0BBB6586"/>
    <w:rsid w:val="0C6A71D4"/>
    <w:rsid w:val="0C873782"/>
    <w:rsid w:val="0C9B4FD8"/>
    <w:rsid w:val="0D097E1E"/>
    <w:rsid w:val="0D20554C"/>
    <w:rsid w:val="0D735897"/>
    <w:rsid w:val="0EA54E3E"/>
    <w:rsid w:val="0EC64615"/>
    <w:rsid w:val="0FB8672C"/>
    <w:rsid w:val="10D861CD"/>
    <w:rsid w:val="12717E12"/>
    <w:rsid w:val="14080EF1"/>
    <w:rsid w:val="15A022E8"/>
    <w:rsid w:val="15F36CB3"/>
    <w:rsid w:val="17A9373B"/>
    <w:rsid w:val="1806179E"/>
    <w:rsid w:val="1A656C11"/>
    <w:rsid w:val="1A9B3C80"/>
    <w:rsid w:val="1D593DA5"/>
    <w:rsid w:val="1DD340B7"/>
    <w:rsid w:val="1EEA6AE3"/>
    <w:rsid w:val="1FF90037"/>
    <w:rsid w:val="21B51AD4"/>
    <w:rsid w:val="226569EB"/>
    <w:rsid w:val="22EA1613"/>
    <w:rsid w:val="2306707C"/>
    <w:rsid w:val="24FE0250"/>
    <w:rsid w:val="25485B2D"/>
    <w:rsid w:val="26EE4245"/>
    <w:rsid w:val="272F10B6"/>
    <w:rsid w:val="27831C34"/>
    <w:rsid w:val="27D83B76"/>
    <w:rsid w:val="27F92076"/>
    <w:rsid w:val="2A742456"/>
    <w:rsid w:val="2AB62E6E"/>
    <w:rsid w:val="2BE029C8"/>
    <w:rsid w:val="2BE55C3F"/>
    <w:rsid w:val="2CA21C12"/>
    <w:rsid w:val="2D423AE6"/>
    <w:rsid w:val="2DD72E99"/>
    <w:rsid w:val="2DF65D20"/>
    <w:rsid w:val="2E2F2E2E"/>
    <w:rsid w:val="2E5871E3"/>
    <w:rsid w:val="2EB62F71"/>
    <w:rsid w:val="2EC117A9"/>
    <w:rsid w:val="304C67F4"/>
    <w:rsid w:val="3065131C"/>
    <w:rsid w:val="30A37F56"/>
    <w:rsid w:val="31277C2E"/>
    <w:rsid w:val="31546052"/>
    <w:rsid w:val="31554F89"/>
    <w:rsid w:val="31F83BAE"/>
    <w:rsid w:val="33C62EFA"/>
    <w:rsid w:val="343F611D"/>
    <w:rsid w:val="3449026E"/>
    <w:rsid w:val="344B5613"/>
    <w:rsid w:val="346E3E1E"/>
    <w:rsid w:val="365447A5"/>
    <w:rsid w:val="36685FDB"/>
    <w:rsid w:val="37EB3835"/>
    <w:rsid w:val="3A0B334D"/>
    <w:rsid w:val="3A3235B3"/>
    <w:rsid w:val="3B275F4B"/>
    <w:rsid w:val="3BF60B7C"/>
    <w:rsid w:val="3C725E1C"/>
    <w:rsid w:val="3CA404D9"/>
    <w:rsid w:val="3DDD007B"/>
    <w:rsid w:val="3EEE691A"/>
    <w:rsid w:val="3FC30246"/>
    <w:rsid w:val="40D53871"/>
    <w:rsid w:val="42C525C5"/>
    <w:rsid w:val="43D91377"/>
    <w:rsid w:val="440C5166"/>
    <w:rsid w:val="450A12A5"/>
    <w:rsid w:val="46800F96"/>
    <w:rsid w:val="476F56FF"/>
    <w:rsid w:val="4774676C"/>
    <w:rsid w:val="47F338CC"/>
    <w:rsid w:val="48A733DF"/>
    <w:rsid w:val="49320710"/>
    <w:rsid w:val="49507ED7"/>
    <w:rsid w:val="495E43F3"/>
    <w:rsid w:val="4B9D42ED"/>
    <w:rsid w:val="4C1A058A"/>
    <w:rsid w:val="4C7A397D"/>
    <w:rsid w:val="4CC22217"/>
    <w:rsid w:val="4E547E68"/>
    <w:rsid w:val="4F9315EC"/>
    <w:rsid w:val="50044C45"/>
    <w:rsid w:val="501479A6"/>
    <w:rsid w:val="503802AB"/>
    <w:rsid w:val="50792583"/>
    <w:rsid w:val="51E519D0"/>
    <w:rsid w:val="53295B8B"/>
    <w:rsid w:val="54427E85"/>
    <w:rsid w:val="546E4B15"/>
    <w:rsid w:val="548D7ACD"/>
    <w:rsid w:val="55652575"/>
    <w:rsid w:val="556E027E"/>
    <w:rsid w:val="55FA72EE"/>
    <w:rsid w:val="5759030D"/>
    <w:rsid w:val="583F4F13"/>
    <w:rsid w:val="58416874"/>
    <w:rsid w:val="590E0FC0"/>
    <w:rsid w:val="5AA02F4C"/>
    <w:rsid w:val="5B6E60C5"/>
    <w:rsid w:val="5C48779F"/>
    <w:rsid w:val="5D920F0B"/>
    <w:rsid w:val="5DC15DD8"/>
    <w:rsid w:val="5DDD1437"/>
    <w:rsid w:val="5EF83B07"/>
    <w:rsid w:val="5F176B73"/>
    <w:rsid w:val="5F993649"/>
    <w:rsid w:val="5F9E3F91"/>
    <w:rsid w:val="62022498"/>
    <w:rsid w:val="62F83BB7"/>
    <w:rsid w:val="634D5BEE"/>
    <w:rsid w:val="63680609"/>
    <w:rsid w:val="643A443A"/>
    <w:rsid w:val="64557C1C"/>
    <w:rsid w:val="65A06FEC"/>
    <w:rsid w:val="66625CC1"/>
    <w:rsid w:val="6666397A"/>
    <w:rsid w:val="67745E26"/>
    <w:rsid w:val="680237C5"/>
    <w:rsid w:val="68CD0C93"/>
    <w:rsid w:val="699C7F56"/>
    <w:rsid w:val="69F10902"/>
    <w:rsid w:val="6B0F34B7"/>
    <w:rsid w:val="6B1922BC"/>
    <w:rsid w:val="6B9175A5"/>
    <w:rsid w:val="6BA13A2A"/>
    <w:rsid w:val="6C0D773A"/>
    <w:rsid w:val="6C637A36"/>
    <w:rsid w:val="6CB67EBA"/>
    <w:rsid w:val="6D564E0C"/>
    <w:rsid w:val="6D656530"/>
    <w:rsid w:val="6EE30483"/>
    <w:rsid w:val="70807A57"/>
    <w:rsid w:val="72726E8A"/>
    <w:rsid w:val="737A633A"/>
    <w:rsid w:val="749A50A7"/>
    <w:rsid w:val="757F0943"/>
    <w:rsid w:val="760D6930"/>
    <w:rsid w:val="7763028D"/>
    <w:rsid w:val="77C2693E"/>
    <w:rsid w:val="783D14D1"/>
    <w:rsid w:val="78BF73A1"/>
    <w:rsid w:val="790467B3"/>
    <w:rsid w:val="79175BF2"/>
    <w:rsid w:val="79834B29"/>
    <w:rsid w:val="799D4CAC"/>
    <w:rsid w:val="7AC3750A"/>
    <w:rsid w:val="7AD44A0F"/>
    <w:rsid w:val="7AE634DE"/>
    <w:rsid w:val="7B165315"/>
    <w:rsid w:val="7CB83934"/>
    <w:rsid w:val="7D0D095A"/>
    <w:rsid w:val="7D2A4635"/>
    <w:rsid w:val="7D791886"/>
    <w:rsid w:val="7DEC6A62"/>
    <w:rsid w:val="7E3663CF"/>
    <w:rsid w:val="7E810798"/>
    <w:rsid w:val="7EED0390"/>
    <w:rsid w:val="7F107ED2"/>
    <w:rsid w:val="7F8B5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1121</Words>
  <Characters>6391</Characters>
  <Lines>53</Lines>
  <Paragraphs>14</Paragraphs>
  <TotalTime>2</TotalTime>
  <ScaleCrop>false</ScaleCrop>
  <LinksUpToDate>false</LinksUpToDate>
  <CharactersWithSpaces>7498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2019-08-30T01:32:40Z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