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20670-2025-QEO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870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四川蜀韵金铝新材料有限公司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788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四川蜀韵金铝新材料有限公司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2023-N1EMS-2262293</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余家龙</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2023-N1QMS-2262293</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余家龙</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2024-N1OHSMS-2262293</w:t>
            </w:r>
          </w:p>
        </w:tc>
        <w:tc>
          <w:tcPr>
            <w:tcW w:w="3145" w:type="dxa"/>
            <w:vAlign w:val="center"/>
          </w:tcPr>
          <w:p w14:paraId="7F43F701">
            <w:pPr>
              <w:spacing w:line="360" w:lineRule="exact"/>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2024-N1OHSMS-1495970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2024-N1QMS-1495970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2025-N1EMS-1495970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Q:铝板加工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E:铝板加工所涉及场所的相关环境管理活动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O:铝板加工所涉及场所的相关职业健康安全管理活动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四川省德阳市广汉市海口路四段97号</w:t>
      </w:r>
    </w:p>
    <w:p w14:paraId="5FB2C4BD">
      <w:pPr>
        <w:spacing w:line="360" w:lineRule="auto"/>
        <w:ind w:firstLine="420" w:firstLineChars="200"/>
      </w:pPr>
      <w:r>
        <w:rPr>
          <w:rFonts w:hint="eastAsia"/>
        </w:rPr>
        <w:t>办公地址：</w:t>
      </w:r>
      <w:r>
        <w:rPr>
          <w:rFonts w:hint="eastAsia"/>
        </w:rPr>
        <w:t>四川省德阳市广汉市海口路四段97号</w:t>
      </w:r>
    </w:p>
    <w:p w14:paraId="3E2A92FF">
      <w:pPr>
        <w:spacing w:line="360" w:lineRule="auto"/>
        <w:ind w:firstLine="420" w:firstLineChars="200"/>
      </w:pPr>
      <w:r>
        <w:rPr>
          <w:rFonts w:hint="eastAsia"/>
        </w:rPr>
        <w:t>经营地址：</w:t>
      </w:r>
      <w:bookmarkStart w:id="14" w:name="生产地址"/>
      <w:bookmarkEnd w:id="14"/>
      <w:r>
        <w:rPr>
          <w:rFonts w:hint="eastAsia"/>
        </w:rPr>
        <w:t>四川省德阳市广汉市海口路四段97号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2025年05月16日 09:00至2025年05月16日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四川蜀韵金铝新材料有限公司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111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