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20668-2025-QEO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湖州南浔康久家具有限公司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91330503MA29KUBH92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湖州南浔康久家具有限公司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浙江省湖州市南浔区南浔镇屯横路1111号5幢1-4层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浙江省湖州市南浔区南浔镇屯横路1111号5幢1-4层、8幢5层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E:免漆板式活动家具、免漆板式固定家具、免漆木门及木饰面的加工所涉及场所的相关环境管理活动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Q:免漆板式活动家具、免漆板式固定家具、免漆木门及木饰面的加工（认可：免漆板式活动家具、免漆板式固定家具的加工）</w:t>
            </w:r>
          </w:p>
          <w:p>
            <w:pPr>
              <w:snapToGrid w:val="0"/>
              <w:spacing w:line="0" w:lineRule="atLeast"/>
              <w:jc w:val="left"/>
              <w:rPr>
                <w:rFonts w:hint="eastAsia"/>
                <w:sz w:val="21"/>
                <w:szCs w:val="21"/>
                <w:lang w:val="en-GB"/>
              </w:rPr>
            </w:pPr>
            <w:r>
              <w:rPr>
                <w:rFonts w:hint="eastAsia"/>
                <w:sz w:val="21"/>
                <w:szCs w:val="21"/>
                <w:lang w:val="en-GB"/>
              </w:rPr>
              <w:t>O:免漆板式活动家具、免漆板式固定家具、免漆木门及木饰面的加工所涉及场所的相关职业健康安全管理活动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湖州南浔康久家具有限公司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浙江省湖州市南浔区南浔镇屯横路1111号5幢1-4层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浙江省湖州市南浔区南浔镇屯横路1111号5幢1-4层、8幢5层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E:免漆板式活动家具、免漆板式固定家具、免漆木门及木饰面的加工所涉及场所的相关环境管理活动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Q:免漆板式活动家具、免漆板式固定家具、免漆木门及木饰面的加工（认可：免漆板式活动家具、免漆板式固定家具的加工）</w:t>
            </w:r>
          </w:p>
          <w:p>
            <w:pPr>
              <w:snapToGrid w:val="0"/>
              <w:spacing w:line="0" w:lineRule="atLeast"/>
              <w:jc w:val="left"/>
              <w:rPr>
                <w:rFonts w:hint="eastAsia"/>
                <w:sz w:val="21"/>
                <w:szCs w:val="21"/>
                <w:lang w:val="en-GB"/>
              </w:rPr>
            </w:pPr>
            <w:r>
              <w:rPr>
                <w:rFonts w:hint="eastAsia"/>
                <w:sz w:val="21"/>
                <w:szCs w:val="21"/>
                <w:lang w:val="en-GB"/>
              </w:rPr>
              <w:t>O:免漆板式活动家具、免漆板式固定家具、免漆木门及木饰面的加工所涉及场所的相关职业健康安全管理活动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24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