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20385-2023-QE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宁晋县润禾装饰材料厂</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92130528MA08FNDQ4R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宁晋县润禾装饰材料厂</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宁晋县耿庄桥镇耿赵庄村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宁晋县耿庄桥镇耿赵庄村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E:内墙腻子粉、石膏粉的生产销售所涉及场所的相关环境管理活动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Q:内墙腻子粉、石膏粉的生产销售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宁晋县润禾装饰材料厂</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宁晋县耿庄桥镇耿赵庄村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宁晋县耿庄桥镇耿赵庄村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E:内墙腻子粉、石膏粉的生产销售所涉及场所的相关环境管理活动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Q:内墙腻子粉、石膏粉的生产销售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505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