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20626-2025-EO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北京保讯科技有限公司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91110228MA019R457W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北京保讯科技有限公司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北京市密云区兴盛南路8号院2号楼106室-796(商务区集中办公区)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北京市丰台区莲花池西里11号联华大厦5层522室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E:计算机软硬件及外围设备、办公设备及耗材、电子设备、会议音视频系统及设备、安防监控系统及设备、LED大屏的销售服务所涉及场所的相关环境管理活动。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O:计算机软硬件及外围设备、办公设备及耗材、电子设备、会议音视频系统及设备、安防监控系统及设备、LED大屏的销售服务所涉及场所的相关职业健康安全管理活动。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北京保讯科技有限公司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北京市密云区兴盛南路8号院2号楼106室-796(商务区集中办公区)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北京市丰台区莲花池西里11号联华大厦5层522室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E:计算机软硬件及外围设备、办公设备及耗材、电子设备、会议音视频系统及设备、安防监控系统及设备、LED大屏的销售服务所涉及场所的相关环境管理活动。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O:计算机软硬件及外围设备、办公设备及耗材、电子设备、会议音视频系统及设备、安防监控系统及设备、LED大屏的销售服务所涉及场所的相关职业健康安全管理活动。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412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