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7311698"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成都德伟久安汽车货柜有限公司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质量管理体系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马成双</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马成双、尹莎莎</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4083686"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马成双</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2023-N1QMS-1294938</w:t>
            </w:r>
          </w:p>
        </w:tc>
        <w:tc>
          <w:tcPr>
            <w:tcW w:w="3145" w:type="dxa"/>
            <w:vAlign w:val="center"/>
          </w:tcPr>
          <w:p w14:paraId="0AF64EA2">
            <w:pPr>
              <w:spacing w:line="360" w:lineRule="auto"/>
              <w:jc w:val="left"/>
              <w:rPr>
                <w:rFonts w:asciiTheme="minorEastAsia" w:eastAsiaTheme="minorEastAsia" w:hAnsiTheme="minorEastAsia"/>
                <w:szCs w:val="21"/>
              </w:rPr>
            </w:pPr>
            <w:r>
              <w:t>22.02.00</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r>
              <w:t>尹莎莎</w:t>
            </w:r>
          </w:p>
        </w:tc>
        <w:tc>
          <w:tcPr>
            <w:tcW w:w="1051" w:type="dxa"/>
            <w:vAlign w:val="center"/>
          </w:tcPr>
          <w:p w14:paraId="7EC46543">
            <w:pPr>
              <w:spacing w:line="360" w:lineRule="auto"/>
              <w:jc w:val="left"/>
              <w:rPr>
                <w:rFonts w:asciiTheme="minorEastAsia" w:eastAsiaTheme="minorEastAsia" w:hAnsiTheme="minorEastAsia"/>
              </w:rPr>
            </w:pPr>
            <w:r>
              <w:t>组员</w:t>
            </w:r>
          </w:p>
        </w:tc>
        <w:tc>
          <w:tcPr>
            <w:tcW w:w="1466" w:type="dxa"/>
            <w:vAlign w:val="center"/>
          </w:tcPr>
          <w:p w14:paraId="285054FC">
            <w:pPr>
              <w:spacing w:line="360" w:lineRule="auto"/>
              <w:jc w:val="left"/>
              <w:rPr>
                <w:rFonts w:asciiTheme="minorEastAsia" w:eastAsiaTheme="minorEastAsia" w:hAnsiTheme="minorEastAsia"/>
              </w:rPr>
            </w:pPr>
            <w:r>
              <w:t>审核员</w:t>
            </w:r>
          </w:p>
        </w:tc>
        <w:tc>
          <w:tcPr>
            <w:tcW w:w="2268" w:type="dxa"/>
            <w:vAlign w:val="center"/>
          </w:tcPr>
          <w:p w14:paraId="636EA2FE">
            <w:pPr>
              <w:spacing w:line="360" w:lineRule="auto"/>
              <w:jc w:val="left"/>
              <w:rPr>
                <w:rFonts w:asciiTheme="minorEastAsia" w:eastAsiaTheme="minorEastAsia" w:hAnsiTheme="minorEastAsia"/>
              </w:rPr>
            </w:pPr>
            <w:r>
              <w:t>2025-N1QMS-1331971</w:t>
            </w:r>
          </w:p>
        </w:tc>
        <w:tc>
          <w:tcPr>
            <w:tcW w:w="3145" w:type="dxa"/>
            <w:vAlign w:val="center"/>
          </w:tcPr>
          <w:p w14:paraId="428F7A98">
            <w:pPr>
              <w:spacing w:line="360" w:lineRule="auto"/>
              <w:jc w:val="left"/>
              <w:rPr>
                <w:rFonts w:asciiTheme="minorEastAsia" w:eastAsiaTheme="minorEastAsia" w:hAnsiTheme="minorEastAsia"/>
              </w:rPr>
            </w:pP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p>
        </w:tc>
        <w:tc>
          <w:tcPr>
            <w:tcW w:w="1051" w:type="dxa"/>
            <w:vAlign w:val="center"/>
          </w:tcPr>
          <w:p w14:paraId="54B56693">
            <w:pPr>
              <w:spacing w:line="360" w:lineRule="auto"/>
              <w:jc w:val="left"/>
              <w:rPr>
                <w:rFonts w:asciiTheme="minorEastAsia" w:eastAsiaTheme="minorEastAsia" w:hAnsiTheme="minorEastAsia"/>
              </w:rPr>
            </w:pPr>
          </w:p>
        </w:tc>
        <w:tc>
          <w:tcPr>
            <w:tcW w:w="1466" w:type="dxa"/>
            <w:vAlign w:val="center"/>
          </w:tcPr>
          <w:p w14:paraId="51DB799B">
            <w:pPr>
              <w:spacing w:line="360" w:lineRule="auto"/>
              <w:jc w:val="left"/>
              <w:rPr>
                <w:rFonts w:asciiTheme="minorEastAsia" w:eastAsiaTheme="minorEastAsia" w:hAnsiTheme="minorEastAsia"/>
              </w:rPr>
            </w:pPr>
          </w:p>
        </w:tc>
        <w:tc>
          <w:tcPr>
            <w:tcW w:w="2268" w:type="dxa"/>
            <w:vAlign w:val="center"/>
          </w:tcPr>
          <w:p w14:paraId="54C7E38B">
            <w:pPr>
              <w:spacing w:line="360" w:lineRule="auto"/>
              <w:jc w:val="left"/>
              <w:rPr>
                <w:rFonts w:asciiTheme="minorEastAsia" w:eastAsiaTheme="minorEastAsia" w:hAnsiTheme="minorEastAsia"/>
              </w:rPr>
            </w:pPr>
          </w:p>
        </w:tc>
        <w:tc>
          <w:tcPr>
            <w:tcW w:w="3145" w:type="dxa"/>
            <w:vAlign w:val="center"/>
          </w:tcPr>
          <w:p w14:paraId="591646C4">
            <w:pPr>
              <w:spacing w:line="360" w:lineRule="auto"/>
              <w:jc w:val="left"/>
              <w:rPr>
                <w:rFonts w:asciiTheme="minorEastAsia" w:eastAsiaTheme="minorEastAsia" w:hAnsiTheme="minorEastAsia"/>
              </w:rPr>
            </w:pP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质量管理体系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GB/T19001-2016/ISO9001:2015</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2025年05月24日上午至2025年05月24日下午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2025年05月24日上午至2025年05月24日下午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马成双</w:t>
      </w:r>
      <w:r>
        <w:rPr>
          <w:rFonts w:hint="eastAsia"/>
          <w:b/>
          <w:color w:val="auto"/>
          <w:kern w:val="2"/>
          <w:sz w:val="21"/>
          <w:lang w:val="en-GB"/>
        </w:rPr>
        <w:t xml:space="preserve">  </w:t>
      </w:r>
      <w:r>
        <w:rPr>
          <w:rFonts w:hint="eastAsia"/>
          <w:b/>
          <w:color w:val="auto"/>
          <w:kern w:val="2"/>
          <w:sz w:val="21"/>
          <w:lang w:val="en-GB"/>
        </w:rPr>
        <w:t>马成双、尹莎莎</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3588927"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