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20557-2025-QEO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北京凯姆斯智控科技有限公司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岳艳玲</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91110106MA008L9X5C</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北京凯姆斯智控科技有限公司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北京市北京经济技术开发区（大兴）长子营镇长恒路20号院11号1-4层</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北京市北京经济技术开发区（大兴）长子营镇长恒路20号院11号1-4层</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Q:资质范围内电动执行器的制造；阀门、气动控制柜、气动控制器、压力变送器组装及销售</w:t>
            </w:r>
          </w:p>
          <w:p>
            <w:pPr>
              <w:snapToGrid w:val="0"/>
              <w:spacing w:line="0" w:lineRule="atLeast"/>
              <w:jc w:val="left"/>
              <w:rPr>
                <w:rFonts w:hint="eastAsia"/>
                <w:sz w:val="21"/>
                <w:szCs w:val="21"/>
                <w:lang w:val="en-GB"/>
              </w:rPr>
            </w:pPr>
            <w:r>
              <w:rPr>
                <w:rFonts w:hint="eastAsia"/>
                <w:sz w:val="21"/>
                <w:szCs w:val="21"/>
                <w:lang w:val="en-GB"/>
              </w:rPr>
              <w:t>E:资质范围内电动执行器的制造；阀门、气动控制柜、气动控制器、压力变送器组装及销售所涉及场所的相关环境管理活动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O:资质范围内电动执行器的制造；阀门、气动控制柜、气动控制器、压力变送器组装及销售所涉及场所的相关职业健康安全管理活动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北京凯姆斯智控科技有限公司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北京市北京经济技术开发区（大兴）长子营镇长恒路20号院11号1-4层</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北京市北京经济技术开发区（大兴）长子营镇长恒路20号院11号1-4层</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Q:资质范围内电动执行器的制造；阀门、气动控制柜、气动控制器、压力变送器组装及销售</w:t>
            </w:r>
          </w:p>
          <w:p>
            <w:pPr>
              <w:snapToGrid w:val="0"/>
              <w:spacing w:line="0" w:lineRule="atLeast"/>
              <w:jc w:val="left"/>
              <w:rPr>
                <w:rFonts w:hint="eastAsia"/>
                <w:sz w:val="21"/>
                <w:szCs w:val="21"/>
                <w:lang w:val="en-GB"/>
              </w:rPr>
            </w:pPr>
            <w:r>
              <w:rPr>
                <w:rFonts w:hint="eastAsia"/>
                <w:sz w:val="21"/>
                <w:szCs w:val="21"/>
                <w:lang w:val="en-GB"/>
              </w:rPr>
              <w:t>E:资质范围内电动执行器的制造；阀门、气动控制柜、气动控制器、压力变送器组装及销售所涉及场所的相关环境管理活动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O:资质范围内电动执行器的制造；阀门、气动控制柜、气动控制器、压力变送器组装及销售所涉及场所的相关职业健康安全管理活动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73616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