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19938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20409-2023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辽宁新华仪器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姜丽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194223371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2025年05月09日上午至2025年05月10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06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326044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