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</w:t>
      </w:r>
      <w:r>
        <w:rPr>
          <w:rFonts w:hint="eastAsia" w:ascii="隶书" w:hAnsi="宋体" w:eastAsia="隶书"/>
          <w:bCs/>
          <w:color w:val="000000"/>
          <w:sz w:val="36"/>
          <w:szCs w:val="36"/>
          <w:lang w:val="en-US" w:eastAsia="zh-CN"/>
        </w:rPr>
        <w:t>现场</w:t>
      </w:r>
      <w:r>
        <w:rPr>
          <w:rFonts w:hint="eastAsia" w:ascii="隶书" w:hAnsi="宋体" w:eastAsia="隶书"/>
          <w:bCs/>
          <w:color w:val="000000"/>
          <w:sz w:val="36"/>
          <w:szCs w:val="36"/>
        </w:rPr>
        <w:t>审核记录表</w:t>
      </w: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360" w:lineRule="auto"/>
        <w:rPr>
          <w:b/>
        </w:rPr>
      </w:pPr>
      <w:r>
        <w:rPr>
          <w:rFonts w:hint="eastAsia"/>
          <w:b/>
        </w:rPr>
        <w:t>公司名称：</w:t>
      </w:r>
      <w:bookmarkStart w:id="0" w:name="组织名称"/>
      <w:r>
        <w:rPr>
          <w:color w:val="000000"/>
          <w:szCs w:val="21"/>
        </w:rPr>
        <w:t>滁州市赢聚高分子材料有限公司</w:t>
      </w:r>
      <w:bookmarkEnd w:id="0"/>
      <w:r>
        <w:rPr>
          <w:rFonts w:hint="eastAsia"/>
          <w:b/>
        </w:rPr>
        <w:t xml:space="preserve">                                 </w:t>
      </w:r>
      <w:r>
        <w:rPr>
          <w:rFonts w:hint="eastAsia" w:ascii="宋体" w:hAnsi="宋体"/>
        </w:rPr>
        <w:t>■</w:t>
      </w:r>
      <w:r>
        <w:rPr>
          <w:rFonts w:hint="eastAsia"/>
          <w:b/>
        </w:rPr>
        <w:t xml:space="preserve">QMS /G   </w:t>
      </w:r>
      <w:r>
        <w:rPr>
          <w:rFonts w:hint="eastAsia" w:ascii="宋体" w:hAnsi="宋体"/>
        </w:rPr>
        <w:t>■</w:t>
      </w:r>
      <w:r>
        <w:rPr>
          <w:rFonts w:hint="eastAsia"/>
          <w:b/>
        </w:rPr>
        <w:t xml:space="preserve">EMS     </w:t>
      </w:r>
      <w:r>
        <w:rPr>
          <w:rFonts w:hint="eastAsia" w:ascii="宋体" w:hAnsi="宋体"/>
        </w:rPr>
        <w:t>■</w:t>
      </w:r>
      <w:r>
        <w:rPr>
          <w:rFonts w:hint="eastAsia"/>
          <w:b/>
        </w:rPr>
        <w:t>OHSMS</w:t>
      </w:r>
    </w:p>
    <w:p>
      <w:pPr>
        <w:spacing w:before="156" w:beforeLines="50" w:after="156" w:afterLines="50"/>
        <w:rPr>
          <w:rFonts w:ascii="宋体" w:hAnsi="宋体"/>
        </w:rPr>
      </w:pPr>
      <w:r>
        <w:rPr>
          <w:rFonts w:hint="eastAsia" w:ascii="宋体" w:hAnsi="宋体"/>
        </w:rPr>
        <w:t xml:space="preserve">审核区域: 管理层、办公室                   </w:t>
      </w:r>
    </w:p>
    <w:p>
      <w:pPr>
        <w:spacing w:before="156" w:beforeLines="50" w:after="156" w:afterLines="50"/>
        <w:rPr>
          <w:rFonts w:ascii="宋体" w:hAnsi="宋体"/>
        </w:rPr>
      </w:pPr>
      <w:r>
        <w:rPr>
          <w:rFonts w:hint="eastAsia" w:ascii="宋体" w:hAnsi="宋体"/>
        </w:rPr>
        <w:t>审核员：</w:t>
      </w:r>
      <w:r>
        <w:rPr>
          <w:rFonts w:hint="eastAsia" w:ascii="宋体" w:hAnsi="宋体"/>
          <w:lang w:val="en-US" w:eastAsia="zh-CN"/>
        </w:rPr>
        <w:t>周涛</w:t>
      </w:r>
      <w:r>
        <w:rPr>
          <w:rFonts w:hint="eastAsia" w:ascii="宋体" w:hAnsi="宋体"/>
        </w:rPr>
        <w:t xml:space="preserve">                                            </w:t>
      </w:r>
      <w:r>
        <w:rPr>
          <w:rFonts w:hint="eastAsia" w:ascii="宋体" w:hAnsi="宋体"/>
          <w:lang w:val="en-US" w:eastAsia="zh-CN"/>
        </w:rPr>
        <w:t xml:space="preserve">       </w:t>
      </w:r>
      <w:r>
        <w:rPr>
          <w:rFonts w:hint="eastAsia" w:ascii="宋体" w:hAnsi="宋体"/>
        </w:rPr>
        <w:t xml:space="preserve">       审核时间:  2020 年</w:t>
      </w:r>
      <w:r>
        <w:rPr>
          <w:rFonts w:hint="eastAsia" w:ascii="宋体" w:hAnsi="宋体"/>
          <w:lang w:val="en-US" w:eastAsia="zh-CN"/>
        </w:rPr>
        <w:t>8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>5</w:t>
      </w:r>
      <w:r>
        <w:rPr>
          <w:rFonts w:hint="eastAsia" w:ascii="宋体" w:hAnsi="宋体"/>
        </w:rPr>
        <w:t>日</w:t>
      </w:r>
    </w:p>
    <w:tbl>
      <w:tblPr>
        <w:tblStyle w:val="6"/>
        <w:tblpPr w:leftFromText="180" w:rightFromText="180" w:vertAnchor="text" w:horzAnchor="margin" w:tblpX="-135" w:tblpY="80"/>
        <w:tblW w:w="14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0" w:type="dxa"/>
        </w:tblCellMar>
      </w:tblPr>
      <w:tblGrid>
        <w:gridCol w:w="568"/>
        <w:gridCol w:w="7810"/>
        <w:gridCol w:w="6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1188" w:hRule="atLeast"/>
        </w:trPr>
        <w:tc>
          <w:tcPr>
            <w:tcW w:w="568" w:type="dxa"/>
            <w:vAlign w:val="center"/>
          </w:tcPr>
          <w:p>
            <w:pPr>
              <w:ind w:left="-105" w:leftChars="-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审</w:t>
            </w:r>
          </w:p>
          <w:p>
            <w:pPr>
              <w:ind w:left="-105" w:leftChars="-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核</w:t>
            </w:r>
          </w:p>
          <w:p>
            <w:pPr>
              <w:ind w:left="-105" w:leftChars="-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提</w:t>
            </w:r>
          </w:p>
          <w:p>
            <w:pPr>
              <w:ind w:left="-105" w:leftChars="-50"/>
              <w:jc w:val="center"/>
              <w:rPr>
                <w:rFonts w:ascii="仿宋_GB2312" w:hAnsi="Times" w:eastAsia="仿宋_GB2312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示</w:t>
            </w:r>
          </w:p>
        </w:tc>
        <w:tc>
          <w:tcPr>
            <w:tcW w:w="7810" w:type="dxa"/>
            <w:tcBorders>
              <w:right w:val="nil"/>
            </w:tcBorders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О涉及的管理体系要求、主管的过程要求、参与/协同实施的要求</w:t>
            </w:r>
          </w:p>
          <w:p>
            <w:pPr>
              <w:tabs>
                <w:tab w:val="left" w:pos="6375"/>
              </w:tabs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О过程模式/流程、环境因素/影响、危险源/风险评估及控制方案</w:t>
            </w:r>
          </w:p>
          <w:p>
            <w:pPr>
              <w:tabs>
                <w:tab w:val="left" w:pos="5337"/>
              </w:tabs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О职责和权限</w:t>
            </w:r>
          </w:p>
          <w:p>
            <w:pPr>
              <w:tabs>
                <w:tab w:val="left" w:pos="5974"/>
              </w:tabs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О目标分解及实施</w:t>
            </w:r>
          </w:p>
          <w:p>
            <w:pPr>
              <w:tabs>
                <w:tab w:val="left" w:pos="5337"/>
              </w:tabs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О资源配置：人力、设备设施、工作环境</w:t>
            </w:r>
          </w:p>
          <w:p>
            <w:pPr>
              <w:tabs>
                <w:tab w:val="left" w:pos="5337"/>
              </w:tabs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О信息、数据及沟通</w:t>
            </w:r>
          </w:p>
          <w:p>
            <w:pPr>
              <w:tabs>
                <w:tab w:val="left" w:pos="5337"/>
              </w:tabs>
              <w:spacing w:line="0" w:lineRule="atLeast"/>
              <w:rPr>
                <w:rFonts w:ascii="仿宋_GB2312" w:eastAsia="仿宋_GB2312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>О审核范围现场确认</w:t>
            </w:r>
          </w:p>
        </w:tc>
        <w:tc>
          <w:tcPr>
            <w:tcW w:w="6030" w:type="dxa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О现场文件审查</w:t>
            </w: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完整性、充分性、适宜性、有效性及控制</w:t>
            </w: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О记录表式、填写、控制</w:t>
            </w: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О监视和测量</w:t>
            </w: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О不合格处置</w:t>
            </w:r>
          </w:p>
          <w:p>
            <w:pPr>
              <w:spacing w:line="0" w:lineRule="atLeast"/>
              <w:rPr>
                <w:rFonts w:ascii="仿宋_GB2312" w:eastAsia="仿宋_GB2312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>О分析和持续改进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14408" w:type="dxa"/>
            <w:gridSpan w:val="3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mc:AlternateContent>
                <mc:Choice Requires="wps">
                  <w:drawing>
                    <wp:anchor distT="0" distB="0" distL="113665" distR="113665" simplePos="0" relativeHeight="251658240" behindDoc="0" locked="0" layoutInCell="0" allowOverlap="1">
                      <wp:simplePos x="0" y="0"/>
                      <wp:positionH relativeFrom="column">
                        <wp:posOffset>4342765</wp:posOffset>
                      </wp:positionH>
                      <wp:positionV relativeFrom="paragraph">
                        <wp:posOffset>94615</wp:posOffset>
                      </wp:positionV>
                      <wp:extent cx="635" cy="0"/>
                      <wp:effectExtent l="0" t="0" r="0" b="0"/>
                      <wp:wrapNone/>
                      <wp:docPr id="3" name="Line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17" o:spid="_x0000_s1026" o:spt="20" style="position:absolute;left:0pt;margin-left:341.95pt;margin-top:7.45pt;height:0pt;width:0.05pt;z-index:251658240;mso-width-relative:page;mso-height-relative:page;" filled="f" stroked="t" coordsize="21600,21600" o:allowincell="f" o:gfxdata="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uAMZ1gAA&#10;AAkBAAAPAAAAAAAAAAEAIAAAACIAAABkcnMvZG93bnJldi54bWxQSwECFAAUAAAACACHTuJAqgKW&#10;0q4BAABPAwAADgAAAAAAAAABACAAAAAlAQAAZHJzL2Uyb0RvYy54bWxQSwUGAAAAAAYABgBZAQAA&#10;R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Cs w:val="21"/>
              </w:rPr>
              <w:t>评估：</w:t>
            </w:r>
            <w:r>
              <w:rPr>
                <w:rFonts w:hint="eastAsia" w:ascii="宋体" w:hAnsi="宋体"/>
                <w:szCs w:val="21"/>
              </w:rPr>
              <w:t>1.符合准则要求; 2.基本符合准则要求（存在轻微问题，可接受），口头通知受审核方;3.未达到准则要求</w:t>
            </w: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注：</w:t>
            </w:r>
            <w:r>
              <w:rPr>
                <w:rFonts w:hint="eastAsia" w:ascii="宋体" w:hAnsi="宋体"/>
                <w:szCs w:val="21"/>
              </w:rPr>
              <w:t>应记录符合的与不符合的审核证据，应提供完整、准确、清晰的审核记录。</w:t>
            </w:r>
          </w:p>
          <w:p>
            <w:pPr>
              <w:spacing w:line="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实习审核员承担部分现场审核记录工作时，同组的级别审核员应在记录首页签字确认。</w:t>
            </w:r>
          </w:p>
        </w:tc>
      </w:tr>
    </w:tbl>
    <w:p>
      <w:pPr>
        <w:rPr>
          <w:vanish/>
        </w:rPr>
      </w:pPr>
    </w:p>
    <w:tbl>
      <w:tblPr>
        <w:tblStyle w:val="6"/>
        <w:tblW w:w="14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297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</w:trPr>
        <w:tc>
          <w:tcPr>
            <w:tcW w:w="675" w:type="dxa"/>
            <w:vAlign w:val="center"/>
          </w:tcPr>
          <w:p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297" w:type="dxa"/>
            <w:vAlign w:val="center"/>
          </w:tcPr>
          <w:p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检查记录</w:t>
            </w:r>
          </w:p>
        </w:tc>
        <w:tc>
          <w:tcPr>
            <w:tcW w:w="1400" w:type="dxa"/>
          </w:tcPr>
          <w:p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80" w:lineRule="exact"/>
            </w:pPr>
            <w:r>
              <w:rPr>
                <w:rFonts w:hint="eastAsia" w:ascii="宋体" w:hAnsi="宋体"/>
                <w:b/>
                <w:szCs w:val="21"/>
              </w:rPr>
              <w:t>受审核组织概况（管理体系组织结构、产品覆盖范围、过程和运作场所等情况）: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tblHeader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1、查最高管理层及管理者代表（适用时）：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/>
                <w:u w:val="single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）组织的最高管理者：</w:t>
            </w:r>
            <w:r>
              <w:rPr>
                <w:rFonts w:ascii="宋体" w:hAnsi="宋体"/>
                <w:u w:val="single"/>
              </w:rPr>
              <w:t xml:space="preserve">  </w:t>
            </w:r>
            <w:bookmarkStart w:id="1" w:name="_Hlk44833932"/>
            <w:r>
              <w:rPr>
                <w:rFonts w:hint="eastAsia" w:ascii="宋体" w:hAnsi="宋体"/>
                <w:szCs w:val="22"/>
                <w:u w:val="single"/>
              </w:rPr>
              <w:t>姚健</w:t>
            </w:r>
            <w:bookmarkEnd w:id="1"/>
            <w:r>
              <w:rPr>
                <w:rFonts w:hint="eastAsia" w:ascii="宋体" w:hAnsi="宋体"/>
                <w:u w:val="single"/>
              </w:rPr>
              <w:t xml:space="preserve"> 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</w:rPr>
              <w:t>，与组织的文件：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 w:ascii="宋体" w:hAnsi="宋体"/>
              </w:rPr>
              <w:t>一致，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</w:rPr>
              <w:t>不一致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 w:ascii="宋体" w:hAnsi="宋体"/>
              </w:rPr>
              <w:t>任命管理者代表：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2"/>
                <w:u w:val="single"/>
              </w:rPr>
              <w:t>余雷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</w:rPr>
              <w:t>，与组织的任命：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 w:ascii="宋体" w:hAnsi="宋体"/>
              </w:rPr>
              <w:t>一致，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</w:rPr>
              <w:t>不一致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tblHeader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2、体系人数：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/>
                <w:u w:val="single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）组织人数：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hint="eastAsia" w:ascii="宋体" w:hAnsi="宋体"/>
                <w:u w:val="single"/>
              </w:rPr>
              <w:t>22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hint="eastAsia" w:ascii="宋体" w:hAnsi="宋体"/>
              </w:rPr>
              <w:t>人；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）各体系人数：</w:t>
            </w:r>
            <w:r>
              <w:rPr>
                <w:rFonts w:ascii="宋体" w:hAnsi="宋体"/>
              </w:rPr>
              <w:t>Q</w:t>
            </w:r>
            <w:r>
              <w:rPr>
                <w:rFonts w:hint="eastAsia" w:ascii="宋体" w:hAnsi="宋体"/>
              </w:rPr>
              <w:t>/EC/MD：</w:t>
            </w:r>
            <w:r>
              <w:rPr>
                <w:rFonts w:hint="eastAsia" w:ascii="宋体" w:hAnsi="宋体"/>
                <w:u w:val="single"/>
              </w:rPr>
              <w:t xml:space="preserve">  22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hint="eastAsia" w:ascii="宋体" w:hAnsi="宋体"/>
              </w:rPr>
              <w:t>人；</w:t>
            </w:r>
            <w:r>
              <w:rPr>
                <w:rFonts w:ascii="宋体" w:hAnsi="宋体"/>
              </w:rPr>
              <w:t>E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u w:val="single"/>
              </w:rPr>
              <w:t xml:space="preserve">22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</w:rPr>
              <w:t>人；</w:t>
            </w:r>
            <w:r>
              <w:rPr>
                <w:rFonts w:ascii="宋体" w:hAnsi="宋体"/>
              </w:rPr>
              <w:t xml:space="preserve"> S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hint="eastAsia" w:ascii="宋体" w:hAnsi="宋体"/>
                <w:u w:val="single"/>
              </w:rPr>
              <w:t xml:space="preserve">22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</w:rPr>
              <w:t xml:space="preserve">人； 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当组织人数与体系人数不一致时，作出说明：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hint="eastAsia" w:ascii="宋体" w:hAnsi="宋体"/>
                <w:szCs w:val="21"/>
              </w:rPr>
              <w:t>生产服务班次安排（班次及人数）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single"/>
              </w:rPr>
              <w:t>一班</w:t>
            </w:r>
            <w:r>
              <w:rPr>
                <w:rFonts w:ascii="宋体" w:hAnsi="宋体"/>
                <w:szCs w:val="21"/>
                <w:u w:val="single"/>
              </w:rPr>
              <w:t xml:space="preserve">          </w:t>
            </w:r>
          </w:p>
          <w:p>
            <w:pPr>
              <w:adjustRightInd w:val="0"/>
              <w:spacing w:line="280" w:lineRule="exact"/>
              <w:jc w:val="left"/>
            </w:pPr>
            <w:r>
              <w:rPr>
                <w:rFonts w:hint="eastAsia" w:ascii="宋体" w:hAnsi="宋体"/>
                <w:szCs w:val="21"/>
              </w:rPr>
              <w:t>非长期雇员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  <w:u w:val="single"/>
              </w:rPr>
              <w:t>0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人。其它说明：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  <w:tblHeader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3、组织机构设置：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）部门（分公司、车间）设置为：</w:t>
            </w:r>
          </w:p>
          <w:p>
            <w:pPr>
              <w:adjustRightInd w:val="0"/>
              <w:spacing w:line="280" w:lineRule="exact"/>
              <w:ind w:firstLine="420" w:firstLineChars="200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hint="eastAsia" w:ascii="宋体"/>
                <w:szCs w:val="21"/>
                <w:u w:val="single"/>
              </w:rPr>
              <w:t>办公室、供销部、生产部</w:t>
            </w:r>
            <w:r>
              <w:rPr>
                <w:rFonts w:hint="eastAsia" w:ascii="宋体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>财务部</w:t>
            </w:r>
            <w:r>
              <w:rPr>
                <w:rFonts w:hint="eastAsia" w:ascii="宋体"/>
                <w:szCs w:val="21"/>
                <w:u w:val="single"/>
              </w:rPr>
              <w:t>。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/>
                <w:color w:val="1F497D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2）组织存在多场所（含</w:t>
            </w:r>
            <w:r>
              <w:rPr>
                <w:rFonts w:hint="eastAsia" w:ascii="宋体"/>
                <w:szCs w:val="21"/>
              </w:rPr>
              <w:t>临时多场所）</w:t>
            </w:r>
            <w:r>
              <w:rPr>
                <w:rFonts w:hint="eastAsia" w:ascii="宋体" w:hAnsi="宋体"/>
                <w:szCs w:val="21"/>
              </w:rPr>
              <w:t>、生产线情况：</w:t>
            </w:r>
            <w:r>
              <w:rPr>
                <w:rFonts w:hint="eastAsia" w:ascii="宋体"/>
                <w:color w:val="1F497D"/>
                <w:szCs w:val="21"/>
              </w:rPr>
              <w:t xml:space="preserve"> 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■不存在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□存在，与组织填报《</w:t>
            </w:r>
            <w:r>
              <w:rPr>
                <w:rFonts w:hint="eastAsia"/>
              </w:rPr>
              <w:t>多名称/多场所/在建（施）项目清单</w:t>
            </w:r>
            <w:r>
              <w:rPr>
                <w:rFonts w:hint="eastAsia" w:ascii="宋体" w:hAnsi="宋体"/>
                <w:szCs w:val="21"/>
              </w:rPr>
              <w:t>》一致。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□存在，与组织填报《</w:t>
            </w:r>
            <w:r>
              <w:rPr>
                <w:rFonts w:hint="eastAsia"/>
              </w:rPr>
              <w:t>多名称/多场所/在建（施）项目清单</w:t>
            </w:r>
            <w:r>
              <w:rPr>
                <w:rFonts w:hint="eastAsia" w:ascii="宋体" w:hAnsi="宋体"/>
                <w:szCs w:val="21"/>
              </w:rPr>
              <w:t>》不一致，说明：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  <w:p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3）组织管理体系文件中的组织机构设置和职责的规定与组织情况：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 w:ascii="宋体" w:hAnsi="宋体"/>
              </w:rPr>
              <w:t>一致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</w:rPr>
              <w:t>不一致，对不一致情况的改进要求：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tblHeader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4、关键场所（针对E、S时，关注如车间、污水处理站、锅炉房、危险化学品仓库、重要设备设施所在的场所等）为：</w:t>
            </w:r>
          </w:p>
          <w:p>
            <w:pPr>
              <w:adjustRightInd w:val="0"/>
              <w:spacing w:line="280" w:lineRule="exact"/>
              <w:ind w:firstLine="210" w:firstLineChars="100"/>
              <w:jc w:val="left"/>
              <w:rPr>
                <w:rFonts w:hint="eastAsia" w:ascii="宋体" w:eastAsia="宋体"/>
                <w:szCs w:val="21"/>
                <w:u w:val="single"/>
                <w:lang w:val="en-US" w:eastAsia="zh-CN"/>
              </w:rPr>
            </w:pPr>
            <w:r>
              <w:rPr>
                <w:rFonts w:ascii="宋体"/>
                <w:szCs w:val="21"/>
                <w:u w:val="single"/>
              </w:rPr>
              <w:t>车间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查部门及关键场所是否正常运行：■是　□否，说明：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5、体系覆盖产品、服务、活动范围为：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bookmarkStart w:id="2" w:name="审核范围"/>
            <w:r>
              <w:rPr>
                <w:rFonts w:hint="eastAsia" w:ascii="宋体" w:hAnsi="宋体"/>
                <w:szCs w:val="21"/>
              </w:rPr>
              <w:t>Q：聚氨酯化妆品用粉扑的生产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E：聚氨酯化妆品用粉扑的生产及相关环境管理活动</w:t>
            </w:r>
          </w:p>
          <w:p>
            <w:pPr>
              <w:spacing w:line="0" w:lineRule="atLeas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O：聚氨酯化妆品用粉扑的生产及相关职业健康安全管理活动</w:t>
            </w:r>
            <w:bookmarkEnd w:id="2"/>
          </w:p>
          <w:p>
            <w:pPr>
              <w:adjustRightInd w:val="0"/>
              <w:spacing w:line="280" w:lineRule="exact"/>
              <w:jc w:val="left"/>
              <w:rPr>
                <w:rFonts w:ascii="宋体"/>
                <w:szCs w:val="21"/>
                <w:u w:val="single"/>
              </w:rPr>
            </w:pPr>
          </w:p>
          <w:p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333333"/>
                <w:szCs w:val="21"/>
              </w:rPr>
              <w:t>确认体系文件中描述的、与申请的、与实际的是否一致：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 w:ascii="宋体" w:hAnsi="宋体"/>
              </w:rPr>
              <w:t>一致，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</w:rPr>
              <w:t>不一致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6、（</w:t>
            </w:r>
            <w:r>
              <w:rPr>
                <w:rFonts w:ascii="宋体" w:hAnsi="宋体"/>
                <w:color w:val="000000"/>
                <w:szCs w:val="21"/>
              </w:rPr>
              <w:t>QMS</w:t>
            </w:r>
            <w:r>
              <w:rPr>
                <w:rFonts w:hint="eastAsia" w:ascii="宋体" w:hAnsi="宋体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EC</w:t>
            </w:r>
            <w:r>
              <w:rPr>
                <w:rFonts w:hint="eastAsia" w:ascii="宋体" w:hAnsi="宋体"/>
                <w:color w:val="000000"/>
                <w:szCs w:val="21"/>
              </w:rPr>
              <w:t>）有无删减</w:t>
            </w:r>
            <w:r>
              <w:rPr>
                <w:rFonts w:hint="eastAsia" w:ascii="宋体" w:hAnsi="宋体"/>
                <w:color w:val="1F497D"/>
                <w:szCs w:val="21"/>
              </w:rPr>
              <w:t>或不适用的条款、要求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□无　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■</w:t>
            </w:r>
            <w:r>
              <w:rPr>
                <w:rFonts w:hint="eastAsia" w:ascii="宋体" w:hAnsi="宋体"/>
                <w:color w:val="000000"/>
                <w:szCs w:val="21"/>
              </w:rPr>
              <w:t>有，条款及要求：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　Q：8.3 </w:t>
            </w:r>
          </w:p>
          <w:p>
            <w:pPr>
              <w:adjustRightInd w:val="0"/>
              <w:spacing w:line="280" w:lineRule="exact"/>
              <w:jc w:val="left"/>
              <w:rPr>
                <w:rFonts w:ascii="Arial" w:hAnsi="Arial" w:cs="Arial"/>
                <w:spacing w:val="-5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■</w:t>
            </w:r>
            <w:r>
              <w:rPr>
                <w:rFonts w:hint="eastAsia" w:ascii="宋体" w:hAnsi="宋体"/>
                <w:color w:val="000000"/>
                <w:szCs w:val="21"/>
              </w:rPr>
              <w:t>删减</w:t>
            </w:r>
            <w:r>
              <w:rPr>
                <w:rFonts w:hint="eastAsia" w:ascii="宋体" w:hAnsi="宋体"/>
                <w:color w:val="1F497D"/>
                <w:szCs w:val="21"/>
              </w:rPr>
              <w:t>或不适用合理</w:t>
            </w:r>
            <w:r>
              <w:rPr>
                <w:rFonts w:hint="eastAsia" w:ascii="宋体" w:hAnsi="宋体"/>
                <w:color w:val="000000"/>
                <w:szCs w:val="21"/>
              </w:rPr>
              <w:t>，理由：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>按照标准和顾客要求生产销售无需再设计开发，删减Q8.3</w:t>
            </w:r>
            <w:r>
              <w:rPr>
                <w:rFonts w:hint="eastAsia" w:ascii="Arial" w:hAnsi="Arial" w:cs="Arial"/>
                <w:spacing w:val="-5"/>
                <w:szCs w:val="21"/>
                <w:u w:val="single"/>
              </w:rPr>
              <w:t>条款，删减合理。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□删减</w:t>
            </w:r>
            <w:r>
              <w:rPr>
                <w:rFonts w:hint="eastAsia" w:ascii="宋体" w:hAnsi="宋体"/>
                <w:color w:val="1F497D"/>
                <w:szCs w:val="21"/>
              </w:rPr>
              <w:t>或不适用</w:t>
            </w:r>
            <w:r>
              <w:rPr>
                <w:rFonts w:hint="eastAsia" w:ascii="宋体" w:hAnsi="宋体"/>
                <w:color w:val="000000"/>
                <w:szCs w:val="21"/>
              </w:rPr>
              <w:t>不</w:t>
            </w:r>
            <w:r>
              <w:rPr>
                <w:rFonts w:hint="eastAsia" w:ascii="宋体" w:hAnsi="宋体"/>
                <w:color w:val="1F497D"/>
                <w:szCs w:val="21"/>
              </w:rPr>
              <w:t>合理</w:t>
            </w:r>
            <w:r>
              <w:rPr>
                <w:rFonts w:hint="eastAsia" w:ascii="宋体" w:hAnsi="宋体"/>
                <w:color w:val="000000"/>
                <w:szCs w:val="21"/>
              </w:rPr>
              <w:t>，说明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>　　　　　　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jc w:val="left"/>
            </w:pPr>
            <w:r>
              <w:rPr>
                <w:rFonts w:hint="eastAsia" w:ascii="宋体" w:hAnsi="宋体"/>
                <w:b/>
                <w:bCs/>
              </w:rPr>
              <w:t>管理体系文件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tblHeader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、组织从</w:t>
            </w:r>
            <w:r>
              <w:rPr>
                <w:rFonts w:ascii="宋体" w:hAnsi="宋体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2"/>
                <w:u w:val="single"/>
              </w:rPr>
              <w:t>20</w:t>
            </w:r>
            <w:r>
              <w:rPr>
                <w:rFonts w:ascii="宋体" w:hAnsi="宋体"/>
                <w:szCs w:val="22"/>
                <w:u w:val="single"/>
              </w:rPr>
              <w:t>20</w:t>
            </w:r>
            <w:r>
              <w:rPr>
                <w:rFonts w:hint="eastAsia" w:ascii="宋体" w:hAnsi="宋体"/>
                <w:szCs w:val="22"/>
                <w:u w:val="single"/>
              </w:rPr>
              <w:t>年</w:t>
            </w:r>
            <w:r>
              <w:rPr>
                <w:rFonts w:ascii="宋体" w:hAnsi="宋体"/>
                <w:szCs w:val="22"/>
                <w:u w:val="single"/>
              </w:rPr>
              <w:t>1</w:t>
            </w:r>
            <w:r>
              <w:rPr>
                <w:rFonts w:hint="eastAsia" w:ascii="宋体" w:hAnsi="宋体"/>
                <w:szCs w:val="22"/>
                <w:u w:val="single"/>
              </w:rPr>
              <w:t>月2日</w:t>
            </w:r>
            <w:r>
              <w:rPr>
                <w:rFonts w:hint="eastAsia" w:ascii="宋体" w:hAnsi="宋体"/>
              </w:rPr>
              <w:t>开始贯标工作：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■</w:t>
            </w:r>
            <w:r>
              <w:rPr>
                <w:rFonts w:hint="eastAsia" w:ascii="宋体" w:hAnsi="宋体"/>
                <w:szCs w:val="21"/>
              </w:rPr>
              <w:t>自行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szCs w:val="21"/>
              </w:rPr>
              <w:t>□聘请咨询公司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人员：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  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tblHeader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</w:rPr>
              <w:t>建立的管理体系文件，包括：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■</w:t>
            </w:r>
            <w:r>
              <w:rPr>
                <w:rFonts w:hint="eastAsia" w:ascii="宋体" w:hAnsi="宋体"/>
              </w:rPr>
              <w:t>手册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；</w:t>
            </w:r>
            <w:r>
              <w:rPr>
                <w:rFonts w:hint="eastAsia" w:ascii="宋体" w:hAnsi="宋体" w:cs="宋体"/>
                <w:szCs w:val="21"/>
              </w:rPr>
              <w:t>■</w:t>
            </w:r>
            <w:r>
              <w:rPr>
                <w:rFonts w:hint="eastAsia" w:ascii="宋体" w:hAnsi="宋体"/>
              </w:rPr>
              <w:t>程序</w:t>
            </w:r>
            <w:r>
              <w:rPr>
                <w:rFonts w:hint="eastAsia" w:ascii="宋体" w:hAnsi="宋体"/>
                <w:szCs w:val="22"/>
              </w:rPr>
              <w:t xml:space="preserve"> ；■管理体系范围；■方针；■目标 ；■作业文件 ；■记录等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■必需的运行控制文件，如：</w:t>
            </w:r>
          </w:p>
          <w:p>
            <w:pPr>
              <w:adjustRightInd w:val="0"/>
              <w:spacing w:line="360" w:lineRule="auto"/>
              <w:ind w:firstLine="630" w:firstLineChars="300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Arial" w:hAnsi="Arial" w:cs="Arial"/>
                <w:szCs w:val="21"/>
              </w:rPr>
              <w:t>管理制度、作业指导书、检验规范。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jc w:val="center"/>
            </w:pPr>
          </w:p>
          <w:p>
            <w:pPr>
              <w:adjustRightInd w:val="0"/>
              <w:spacing w:line="360" w:lineRule="auto"/>
            </w:pPr>
          </w:p>
          <w:p>
            <w:pPr>
              <w:adjustRightInd w:val="0"/>
              <w:spacing w:line="360" w:lineRule="auto"/>
              <w:jc w:val="center"/>
            </w:pPr>
            <w:r>
              <w:t>O</w:t>
            </w:r>
            <w:r>
              <w:rPr>
                <w:rFonts w:hint="eastAsia"/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  <w:tblHeader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hint="eastAsia" w:ascii="宋体" w:hAnsi="宋体"/>
                <w:szCs w:val="22"/>
              </w:rPr>
              <w:t>、该组织管理体系于</w:t>
            </w:r>
            <w:r>
              <w:rPr>
                <w:rFonts w:ascii="宋体" w:hAnsi="宋体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2"/>
                <w:u w:val="single"/>
              </w:rPr>
              <w:t>20</w:t>
            </w:r>
            <w:r>
              <w:rPr>
                <w:rFonts w:ascii="宋体" w:hAnsi="宋体"/>
                <w:szCs w:val="22"/>
                <w:u w:val="single"/>
              </w:rPr>
              <w:t>20</w:t>
            </w:r>
            <w:r>
              <w:rPr>
                <w:rFonts w:hint="eastAsia" w:ascii="宋体" w:hAnsi="宋体"/>
                <w:szCs w:val="22"/>
                <w:u w:val="single"/>
              </w:rPr>
              <w:t>年</w:t>
            </w:r>
            <w:r>
              <w:rPr>
                <w:rFonts w:ascii="宋体" w:hAnsi="宋体"/>
                <w:szCs w:val="22"/>
                <w:u w:val="single"/>
              </w:rPr>
              <w:t>1</w:t>
            </w:r>
            <w:r>
              <w:rPr>
                <w:rFonts w:hint="eastAsia" w:ascii="宋体" w:hAnsi="宋体"/>
                <w:szCs w:val="22"/>
                <w:u w:val="single"/>
              </w:rPr>
              <w:t>月2日</w:t>
            </w:r>
            <w:r>
              <w:rPr>
                <w:rFonts w:hint="eastAsia" w:ascii="宋体" w:hAnsi="宋体"/>
                <w:szCs w:val="22"/>
              </w:rPr>
              <w:t xml:space="preserve"> 开始正式运行，管理体系文件评价见文件审核报告。验证文件评审报告所提出问题的纠正：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 xml:space="preserve">□文件评审未提出问题 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■验证修订的文件资料，已纠正，符合；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 xml:space="preserve">□纠正仍存在问题，具体是：  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 xml:space="preserve">□需要补充的文件问题有：  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jc w:val="center"/>
            </w:pPr>
          </w:p>
          <w:p>
            <w:pPr>
              <w:adjustRightInd w:val="0"/>
              <w:spacing w:line="360" w:lineRule="auto"/>
              <w:jc w:val="center"/>
            </w:pPr>
          </w:p>
          <w:p>
            <w:pPr>
              <w:adjustRightInd w:val="0"/>
              <w:spacing w:line="360" w:lineRule="auto"/>
            </w:pPr>
            <w:r>
              <w:rPr>
                <w:rFonts w:hint="eastAsia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4、结合该组织现场实际情况、内审、管理评审实施情况、体系文件的实施情况，确认组织管理体系运行时间：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 w:ascii="宋体" w:hAnsi="宋体"/>
              </w:rPr>
              <w:t>已超过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个月</w:t>
            </w:r>
          </w:p>
          <w:p>
            <w:pPr>
              <w:adjustRightIn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□不足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月（此情况下审核组可中断审核，当营业执照不足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个月时，可认为体系运行不足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月。中断审核前需要向审核部汇报并获得批准。）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vMerge w:val="restart"/>
          </w:tcPr>
          <w:p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2297" w:type="dxa"/>
          </w:tcPr>
          <w:p>
            <w:pPr>
              <w:adjustRightInd w:val="0"/>
              <w:spacing w:line="360" w:lineRule="auto"/>
              <w:jc w:val="left"/>
            </w:pPr>
            <w:r>
              <w:rPr>
                <w:rFonts w:hint="eastAsia" w:ascii="宋体" w:hAnsi="宋体"/>
                <w:b/>
                <w:szCs w:val="21"/>
              </w:rPr>
              <w:t>相关法律法规及其它要求的遵守情况</w:t>
            </w:r>
          </w:p>
        </w:tc>
        <w:tc>
          <w:tcPr>
            <w:tcW w:w="1400" w:type="dxa"/>
          </w:tcPr>
          <w:p>
            <w:pPr>
              <w:adjustRightInd w:val="0"/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4" w:hRule="atLeast"/>
        </w:trPr>
        <w:tc>
          <w:tcPr>
            <w:tcW w:w="675" w:type="dxa"/>
            <w:vMerge w:val="continue"/>
          </w:tcPr>
          <w:p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</w:rPr>
              <w:t>组织提供了有效资质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</w:rPr>
              <w:t>证明</w:t>
            </w:r>
            <w:r>
              <w:rPr>
                <w:rFonts w:hint="eastAsia" w:ascii="宋体" w:hAnsi="宋体"/>
              </w:rPr>
              <w:t>，包括：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 w:ascii="宋体" w:hAnsi="宋体"/>
                <w:color w:val="000000"/>
                <w:szCs w:val="21"/>
              </w:rPr>
              <w:t>组织的</w:t>
            </w:r>
            <w:r>
              <w:rPr>
                <w:rFonts w:hint="eastAsia" w:ascii="宋体" w:hAnsi="宋体"/>
                <w:color w:val="000000"/>
              </w:rPr>
              <w:t>营业执照；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color w:val="000000"/>
              </w:rPr>
              <w:t>生产许可证；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color w:val="000000"/>
              </w:rPr>
              <w:t>排污许可证；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环评报告；</w:t>
            </w:r>
            <w:r>
              <w:rPr>
                <w:rFonts w:hint="eastAsia" w:ascii="宋体" w:hAnsi="宋体"/>
              </w:rPr>
              <w:t>□安评报告；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三同时验收报告；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安全生产许可证；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危险化学品销售许可证；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运输许可证；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3C</w:t>
            </w:r>
            <w:r>
              <w:rPr>
                <w:rFonts w:hint="eastAsia" w:ascii="宋体" w:hAnsi="宋体"/>
                <w:color w:val="000000"/>
                <w:szCs w:val="21"/>
              </w:rPr>
              <w:t>证书；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QS</w:t>
            </w:r>
            <w:r>
              <w:rPr>
                <w:rFonts w:hint="eastAsia" w:ascii="宋体" w:hAnsi="宋体"/>
                <w:color w:val="000000"/>
                <w:szCs w:val="21"/>
              </w:rPr>
              <w:t>证书；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 w:ascii="宋体" w:hAnsi="宋体"/>
              </w:rPr>
              <w:t>其他</w:t>
            </w:r>
            <w:r>
              <w:rPr>
                <w:rFonts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建设项目环境影响报告表</w:t>
            </w:r>
            <w:r>
              <w:rPr>
                <w:rFonts w:ascii="宋体" w:hAnsi="宋体"/>
                <w:u w:val="single"/>
              </w:rPr>
              <w:t xml:space="preserve">                            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□未提供</w:t>
            </w:r>
            <w:r>
              <w:rPr>
                <w:rFonts w:ascii="宋体" w:hAnsi="宋体"/>
                <w:u w:val="single"/>
              </w:rPr>
              <w:t xml:space="preserve">                                                    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说明：</w:t>
            </w:r>
            <w:r>
              <w:rPr>
                <w:rFonts w:ascii="宋体" w:hAnsi="宋体"/>
                <w:u w:val="single"/>
              </w:rPr>
              <w:t xml:space="preserve">                                                                                          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□有怀疑，包括</w:t>
            </w:r>
            <w:r>
              <w:rPr>
                <w:rFonts w:ascii="宋体" w:hAnsi="宋体"/>
                <w:u w:val="single"/>
              </w:rPr>
              <w:t xml:space="preserve">                                                                          </w:t>
            </w:r>
            <w:r>
              <w:rPr>
                <w:rFonts w:hint="eastAsia" w:ascii="宋体" w:hAnsi="宋体"/>
                <w:u w:val="single"/>
              </w:rPr>
              <w:t>　　</w:t>
            </w:r>
            <w:r>
              <w:rPr>
                <w:rFonts w:ascii="宋体" w:hAnsi="宋体"/>
                <w:u w:val="single"/>
              </w:rPr>
              <w:t xml:space="preserve">                        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</w:rPr>
              <w:t>核实记录：</w:t>
            </w:r>
            <w:r>
              <w:rPr>
                <w:rFonts w:ascii="宋体" w:hAnsi="宋体"/>
                <w:u w:val="single"/>
              </w:rPr>
              <w:t xml:space="preserve">                      </w:t>
            </w:r>
          </w:p>
        </w:tc>
        <w:tc>
          <w:tcPr>
            <w:tcW w:w="1400" w:type="dxa"/>
          </w:tcPr>
          <w:p>
            <w:pPr>
              <w:adjustRightInd w:val="0"/>
              <w:spacing w:line="360" w:lineRule="auto"/>
              <w:jc w:val="left"/>
            </w:pPr>
            <w: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675" w:type="dxa"/>
            <w:vMerge w:val="continue"/>
          </w:tcPr>
          <w:p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、组织识别了适用的法律、法规、标准和规范，主要包括：</w:t>
            </w:r>
            <w:r>
              <w:rPr>
                <w:rFonts w:ascii="宋体" w:hAnsi="宋体"/>
                <w:szCs w:val="21"/>
                <w:u w:val="single"/>
              </w:rPr>
              <w:t xml:space="preserve">  中华人民共和国环境保护法</w:t>
            </w:r>
            <w:r>
              <w:rPr>
                <w:rFonts w:hint="eastAsia" w:ascii="宋体" w:hAnsi="宋体"/>
                <w:szCs w:val="24"/>
                <w:u w:val="single"/>
              </w:rPr>
              <w:t>、</w:t>
            </w:r>
            <w:r>
              <w:rPr>
                <w:rFonts w:ascii="宋体" w:hAnsi="宋体"/>
                <w:szCs w:val="21"/>
                <w:u w:val="single"/>
              </w:rPr>
              <w:t>中华人民共和国</w:t>
            </w:r>
            <w:r>
              <w:rPr>
                <w:rFonts w:hint="eastAsia" w:ascii="宋体" w:hAnsi="宋体"/>
                <w:szCs w:val="24"/>
                <w:u w:val="single"/>
              </w:rPr>
              <w:t>质量法、</w:t>
            </w:r>
            <w:r>
              <w:rPr>
                <w:rFonts w:ascii="宋体" w:hAnsi="宋体"/>
                <w:szCs w:val="21"/>
                <w:u w:val="single"/>
              </w:rPr>
              <w:t>中华人民共和国</w:t>
            </w:r>
            <w:r>
              <w:rPr>
                <w:rFonts w:hint="eastAsia" w:ascii="宋体" w:hAnsi="宋体"/>
                <w:szCs w:val="24"/>
                <w:u w:val="single"/>
              </w:rPr>
              <w:t>消防法、</w:t>
            </w:r>
            <w:r>
              <w:rPr>
                <w:rFonts w:ascii="宋体" w:hAnsi="宋体"/>
                <w:szCs w:val="21"/>
                <w:u w:val="single"/>
              </w:rPr>
              <w:t>中华人民共和国安全生产</w:t>
            </w:r>
            <w:r>
              <w:rPr>
                <w:rFonts w:hint="eastAsia" w:ascii="宋体" w:hAnsi="宋体"/>
                <w:szCs w:val="24"/>
                <w:u w:val="single"/>
              </w:rPr>
              <w:t>法、</w:t>
            </w:r>
            <w:r>
              <w:rPr>
                <w:rFonts w:hint="eastAsia" w:ascii="宋体" w:hAnsi="宋体"/>
                <w:szCs w:val="21"/>
                <w:u w:val="single"/>
              </w:rPr>
              <w:t>GB/T 3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  <w:u w:val="single"/>
              </w:rPr>
              <w:t>088-2019   化妆用具  粉扑、GB/T1684   化妆品检验规则、GB/T 1685  化妆品产品包装外观要求、化妆品安全技术规范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等</w:t>
            </w:r>
            <w:r>
              <w:rPr>
                <w:rFonts w:hint="eastAsia" w:ascii="宋体" w:hAnsi="宋体"/>
                <w:szCs w:val="21"/>
                <w:u w:val="single"/>
              </w:rPr>
              <w:t>。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漏识别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  <w:u w:val="single"/>
              </w:rPr>
              <w:t>　　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</w:p>
        </w:tc>
        <w:tc>
          <w:tcPr>
            <w:tcW w:w="1400" w:type="dxa"/>
          </w:tcPr>
          <w:p>
            <w:pPr>
              <w:adjustRightInd w:val="0"/>
              <w:spacing w:line="360" w:lineRule="auto"/>
              <w:jc w:val="left"/>
            </w:pPr>
            <w:r>
              <w:t>O</w:t>
            </w:r>
            <w:r>
              <w:rPr>
                <w:rFonts w:hint="eastAsia"/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675" w:type="dxa"/>
            <w:vMerge w:val="continue"/>
          </w:tcPr>
          <w:p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3、组织的产品质量、环境影响、职业健康安全受到相关方的投诉</w:t>
            </w:r>
            <w:r>
              <w:rPr>
                <w:rFonts w:ascii="宋体" w:hAnsi="宋体"/>
                <w:szCs w:val="21"/>
              </w:rPr>
              <w:t>: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■否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□是，说明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 w:ascii="宋体" w:hAnsi="宋体"/>
                <w:szCs w:val="21"/>
                <w:u w:val="single"/>
              </w:rPr>
              <w:t>　　　　　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</w:p>
        </w:tc>
        <w:tc>
          <w:tcPr>
            <w:tcW w:w="1400" w:type="dxa"/>
          </w:tcPr>
          <w:p>
            <w:pPr>
              <w:adjustRightInd w:val="0"/>
              <w:spacing w:line="360" w:lineRule="auto"/>
              <w:jc w:val="left"/>
            </w:pPr>
            <w: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</w:trPr>
        <w:tc>
          <w:tcPr>
            <w:tcW w:w="675" w:type="dxa"/>
            <w:vMerge w:val="restart"/>
          </w:tcPr>
          <w:p>
            <w:pPr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297" w:type="dxa"/>
          </w:tcPr>
          <w:p>
            <w:pPr>
              <w:adjustRightInd w:val="0"/>
              <w:spacing w:line="360" w:lineRule="auto"/>
              <w:jc w:val="left"/>
            </w:pPr>
            <w:r>
              <w:rPr>
                <w:rFonts w:hint="eastAsia" w:ascii="宋体" w:hAnsi="宋体"/>
                <w:szCs w:val="21"/>
              </w:rPr>
              <w:t>管理体系的方针、目标/指标/措施方案及实现情况：</w:t>
            </w:r>
          </w:p>
        </w:tc>
        <w:tc>
          <w:tcPr>
            <w:tcW w:w="1400" w:type="dxa"/>
          </w:tcPr>
          <w:p>
            <w:pPr>
              <w:adjustRightIn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tblHeader/>
        </w:trPr>
        <w:tc>
          <w:tcPr>
            <w:tcW w:w="675" w:type="dxa"/>
            <w:vMerge w:val="continue"/>
          </w:tcPr>
          <w:p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</w:tcPr>
          <w:p>
            <w:pPr>
              <w:spacing w:line="360" w:lineRule="exact"/>
              <w:ind w:right="210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1、管理体系的方针</w:t>
            </w:r>
            <w:r>
              <w:rPr>
                <w:rFonts w:hint="eastAsia" w:ascii="宋体" w:hAnsi="宋体"/>
                <w:color w:val="4F81BD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u w:val="single"/>
              </w:rPr>
              <w:t>顾客至上  质量为本  科学管理  求实创新；环境和谐  安全健康  预防为主  城信守法  持续改正  持续改进</w:t>
            </w:r>
            <w:r>
              <w:rPr>
                <w:rFonts w:hint="eastAsia" w:ascii="宋体" w:hAnsi="宋体"/>
                <w:szCs w:val="21"/>
                <w:u w:val="single"/>
              </w:rPr>
              <w:t>。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</w:rPr>
              <w:t>■</w:t>
            </w:r>
            <w:r>
              <w:rPr>
                <w:rFonts w:hint="eastAsia" w:ascii="宋体" w:hAnsi="宋体"/>
              </w:rPr>
              <w:t>适宜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不适宜：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adjustRightInd w:val="0"/>
              <w:spacing w:line="360" w:lineRule="auto"/>
              <w:jc w:val="left"/>
              <w:rPr>
                <w:rFonts w:hint="eastAsia" w:ascii="宋体" w:hAnsi="宋体"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目标、指标、措施方案：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1、</w:t>
            </w:r>
            <w:r>
              <w:rPr>
                <w:rFonts w:hint="eastAsia" w:ascii="宋体" w:hAnsi="宋体"/>
                <w:szCs w:val="21"/>
                <w:u w:val="single"/>
              </w:rPr>
              <w:t>产品一次交验合格率≥98%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adjustRightInd w:val="0"/>
              <w:spacing w:line="360" w:lineRule="auto"/>
              <w:ind w:firstLine="2520" w:firstLineChars="1200"/>
              <w:jc w:val="left"/>
              <w:rPr>
                <w:rFonts w:hint="eastAsia" w:ascii="宋体" w:hAnsi="宋体"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顾客满意度≥90%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；</w:t>
            </w:r>
          </w:p>
          <w:p>
            <w:pPr>
              <w:numPr>
                <w:numId w:val="0"/>
              </w:numPr>
              <w:adjustRightInd w:val="0"/>
              <w:spacing w:line="360" w:lineRule="auto"/>
              <w:ind w:firstLine="2520" w:firstLineChars="12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3、</w:t>
            </w:r>
            <w:r>
              <w:rPr>
                <w:rFonts w:hint="eastAsia" w:ascii="宋体" w:hAnsi="宋体"/>
                <w:szCs w:val="21"/>
                <w:u w:val="single"/>
              </w:rPr>
              <w:t>火灾发生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0；</w:t>
            </w:r>
          </w:p>
          <w:p>
            <w:pPr>
              <w:numPr>
                <w:numId w:val="0"/>
              </w:numPr>
              <w:adjustRightInd w:val="0"/>
              <w:spacing w:line="360" w:lineRule="auto"/>
              <w:ind w:firstLine="2520" w:firstLineChars="12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4、</w:t>
            </w:r>
            <w:r>
              <w:rPr>
                <w:rFonts w:hint="eastAsia" w:ascii="宋体" w:hAnsi="宋体"/>
                <w:szCs w:val="21"/>
                <w:u w:val="single"/>
              </w:rPr>
              <w:t>安全事故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0；</w:t>
            </w:r>
          </w:p>
          <w:p>
            <w:pPr>
              <w:numPr>
                <w:numId w:val="0"/>
              </w:numPr>
              <w:adjustRightInd w:val="0"/>
              <w:spacing w:line="360" w:lineRule="auto"/>
              <w:ind w:firstLine="2520" w:firstLineChars="12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5、</w:t>
            </w:r>
            <w:r>
              <w:rPr>
                <w:rFonts w:hint="eastAsia" w:ascii="宋体" w:hAnsi="宋体"/>
                <w:szCs w:val="21"/>
                <w:u w:val="single"/>
              </w:rPr>
              <w:t>固废处理率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100%。</w:t>
            </w:r>
          </w:p>
          <w:p>
            <w:pPr>
              <w:adjustRightInd w:val="0"/>
              <w:spacing w:line="360" w:lineRule="auto"/>
              <w:ind w:firstLine="420" w:firstLineChars="200"/>
              <w:jc w:val="left"/>
              <w:rPr>
                <w:rFonts w:ascii="宋体" w:hAnsi="宋体"/>
                <w:color w:val="4F81BD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进行了分解，制定了管理方案　　　　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 xml:space="preserve">a.在各职能、层次、过程的建立情况，确定实现目标/指标的方案情况及实现情况：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已经在各个部门进行了分解，</w:t>
            </w:r>
            <w:r>
              <w:rPr>
                <w:rFonts w:hint="eastAsia" w:ascii="宋体" w:hAnsi="宋体"/>
                <w:szCs w:val="21"/>
                <w:u w:val="single"/>
              </w:rPr>
              <w:t>可以实现。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b.是否存在不适宜情况：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>无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</w:p>
        </w:tc>
        <w:tc>
          <w:tcPr>
            <w:tcW w:w="1400" w:type="dxa"/>
          </w:tcPr>
          <w:p>
            <w:pPr>
              <w:adjustRightInd w:val="0"/>
              <w:spacing w:line="360" w:lineRule="auto"/>
              <w:jc w:val="center"/>
            </w:pPr>
            <w:r>
              <w:t>O</w:t>
            </w:r>
            <w:r>
              <w:rPr>
                <w:rFonts w:hint="eastAsia"/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75" w:type="dxa"/>
            <w:vMerge w:val="restart"/>
          </w:tcPr>
          <w:p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12297" w:type="dxa"/>
          </w:tcPr>
          <w:p>
            <w:pPr>
              <w:adjustRightInd w:val="0"/>
              <w:spacing w:line="360" w:lineRule="auto"/>
              <w:jc w:val="left"/>
            </w:pPr>
            <w:r>
              <w:rPr>
                <w:rFonts w:hint="eastAsia" w:ascii="宋体" w:hAnsi="宋体"/>
                <w:b/>
                <w:bCs/>
                <w:szCs w:val="21"/>
              </w:rPr>
              <w:t>组织内部审核策划和实施情况</w:t>
            </w:r>
          </w:p>
        </w:tc>
        <w:tc>
          <w:tcPr>
            <w:tcW w:w="1400" w:type="dxa"/>
          </w:tcPr>
          <w:p>
            <w:pPr>
              <w:adjustRightInd w:val="0"/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</w:trPr>
        <w:tc>
          <w:tcPr>
            <w:tcW w:w="675" w:type="dxa"/>
            <w:vMerge w:val="continue"/>
          </w:tcPr>
          <w:p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>
            <w:pPr>
              <w:pStyle w:val="12"/>
              <w:numPr>
                <w:ilvl w:val="0"/>
                <w:numId w:val="2"/>
              </w:numPr>
              <w:adjustRightInd w:val="0"/>
              <w:spacing w:line="360" w:lineRule="auto"/>
              <w:ind w:left="0" w:firstLine="0" w:firstLineChars="0"/>
              <w:jc w:val="left"/>
              <w:textAlignment w:val="baseline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规定的内审频次：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</w:rPr>
              <w:t>一年一次</w:t>
            </w:r>
            <w:r>
              <w:t xml:space="preserve">  </w:t>
            </w:r>
            <w:r>
              <w:rPr>
                <w:rFonts w:hint="eastAsia"/>
              </w:rPr>
              <w:t>□其它：</w:t>
            </w:r>
            <w:r>
              <w:rPr>
                <w:rFonts w:hint="eastAsia" w:ascii="宋体" w:hAnsi="宋体"/>
                <w:u w:val="single"/>
              </w:rPr>
              <w:t>　　　　　</w:t>
            </w:r>
            <w:r>
              <w:rPr>
                <w:rFonts w:ascii="宋体" w:hAnsi="宋体"/>
                <w:u w:val="single"/>
              </w:rPr>
              <w:t xml:space="preserve"> </w:t>
            </w:r>
          </w:p>
          <w:p>
            <w:pPr>
              <w:adjustRightInd w:val="0"/>
              <w:spacing w:line="360" w:lineRule="auto"/>
              <w:jc w:val="left"/>
              <w:textAlignment w:val="baseline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、本次内审于</w:t>
            </w:r>
            <w:r>
              <w:rPr>
                <w:rFonts w:hint="eastAsia" w:ascii="宋体" w:hAnsi="宋体"/>
                <w:u w:val="single"/>
              </w:rPr>
              <w:t xml:space="preserve">　2020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>　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6</w:t>
            </w:r>
            <w:r>
              <w:rPr>
                <w:rFonts w:hint="eastAsia" w:ascii="宋体" w:hAnsi="宋体"/>
                <w:u w:val="single"/>
              </w:rPr>
              <w:t>　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>　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19</w:t>
            </w:r>
            <w:r>
              <w:rPr>
                <w:rFonts w:hint="eastAsia" w:ascii="宋体" w:hAnsi="宋体"/>
                <w:u w:val="single"/>
              </w:rPr>
              <w:t>　</w:t>
            </w:r>
            <w:r>
              <w:rPr>
                <w:rFonts w:hint="eastAsia" w:ascii="宋体" w:hAnsi="宋体"/>
              </w:rPr>
              <w:t>日实施</w:t>
            </w:r>
          </w:p>
          <w:p>
            <w:pPr>
              <w:adjustRightInd w:val="0"/>
              <w:spacing w:line="360" w:lineRule="auto"/>
              <w:jc w:val="left"/>
              <w:rPr>
                <w:u w:val="single"/>
              </w:rPr>
            </w:pPr>
            <w:r>
              <w:t>3</w:t>
            </w:r>
            <w:r>
              <w:rPr>
                <w:rFonts w:hint="eastAsia"/>
              </w:rPr>
              <w:t>、覆盖标准条款：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</w:rPr>
              <w:t>完全　□不完全：缺少</w:t>
            </w:r>
            <w:r>
              <w:rPr>
                <w:rFonts w:hint="eastAsia"/>
                <w:u w:val="single"/>
              </w:rPr>
              <w:t>　　　　　　　</w:t>
            </w:r>
            <w:r>
              <w:rPr>
                <w:u w:val="single"/>
              </w:rPr>
              <w:t xml:space="preserve">                    </w:t>
            </w:r>
          </w:p>
          <w:p>
            <w:pPr>
              <w:adjustRightInd w:val="0"/>
              <w:spacing w:line="360" w:lineRule="auto"/>
              <w:jc w:val="left"/>
              <w:rPr>
                <w:u w:val="single"/>
              </w:rPr>
            </w:pPr>
            <w:r>
              <w:rPr>
                <w:rFonts w:hint="eastAsia"/>
              </w:rPr>
              <w:t>覆盖职能部门、分场所：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</w:rPr>
              <w:t>完全　□不完全：缺少</w:t>
            </w:r>
            <w:r>
              <w:rPr>
                <w:rFonts w:hint="eastAsia"/>
                <w:u w:val="single"/>
              </w:rPr>
              <w:t>　　　　</w:t>
            </w:r>
            <w:r>
              <w:rPr>
                <w:u w:val="single"/>
              </w:rPr>
              <w:t xml:space="preserve">                     </w:t>
            </w:r>
          </w:p>
          <w:p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时间分配：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</w:rPr>
              <w:t>合理</w:t>
            </w:r>
            <w:r>
              <w:t xml:space="preserve">  </w:t>
            </w:r>
            <w:r>
              <w:rPr>
                <w:rFonts w:hint="eastAsia"/>
              </w:rPr>
              <w:t>□不合理：　</w:t>
            </w:r>
            <w:r>
              <w:rPr>
                <w:rFonts w:hint="eastAsia"/>
                <w:u w:val="single"/>
              </w:rPr>
              <w:t>　　　　　　　　</w:t>
            </w:r>
            <w:r>
              <w:rPr>
                <w:u w:val="single"/>
              </w:rPr>
              <w:t xml:space="preserve">                       </w:t>
            </w:r>
            <w:r>
              <w:rPr>
                <w:rFonts w:hint="eastAsia"/>
                <w:u w:val="single"/>
              </w:rPr>
              <w:t>　　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/>
              </w:rPr>
              <w:t>内审组人员分工：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</w:rPr>
              <w:t>合理，具备公正性</w:t>
            </w:r>
            <w:r>
              <w:t xml:space="preserve">  </w:t>
            </w:r>
            <w:r>
              <w:rPr>
                <w:rFonts w:hint="eastAsia"/>
              </w:rPr>
              <w:t>□不合理：</w:t>
            </w:r>
            <w:r>
              <w:rPr>
                <w:rFonts w:hint="eastAsia"/>
                <w:u w:val="single"/>
              </w:rPr>
              <w:t>　　　　　　</w:t>
            </w:r>
            <w:r>
              <w:rPr>
                <w:u w:val="single"/>
              </w:rPr>
              <w:t xml:space="preserve">               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、内审报告对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ascii="宋体" w:hAnsi="宋体"/>
              </w:rPr>
              <w:t xml:space="preserve">QMS  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ascii="宋体" w:hAnsi="宋体"/>
              </w:rPr>
              <w:t xml:space="preserve">EMS  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ascii="宋体" w:hAnsi="宋体"/>
              </w:rPr>
              <w:t>OHSMS</w:t>
            </w:r>
            <w:r>
              <w:rPr>
                <w:rFonts w:hint="eastAsia" w:ascii="宋体" w:hAnsi="宋体"/>
              </w:rPr>
              <w:t>的有效性和符合性的结论：</w:t>
            </w:r>
            <w:r>
              <w:rPr>
                <w:rFonts w:hint="eastAsia" w:ascii="宋体" w:hAnsi="宋体"/>
                <w:u w:val="single"/>
              </w:rPr>
              <w:t>　　　　</w:t>
            </w:r>
            <w:r>
              <w:rPr>
                <w:rFonts w:ascii="宋体" w:hAnsi="宋体"/>
                <w:u w:val="single"/>
              </w:rPr>
              <w:t xml:space="preserve">      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u w:val="single"/>
              </w:rPr>
              <w:t>　　公司的管理体系符合标准要求，体系运行有效。　　　</w:t>
            </w:r>
          </w:p>
        </w:tc>
        <w:tc>
          <w:tcPr>
            <w:tcW w:w="1400" w:type="dxa"/>
          </w:tcPr>
          <w:p>
            <w:pPr>
              <w:adjustRightInd w:val="0"/>
              <w:spacing w:line="360" w:lineRule="auto"/>
              <w:jc w:val="left"/>
            </w:pPr>
            <w: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75" w:type="dxa"/>
            <w:vMerge w:val="restart"/>
          </w:tcPr>
          <w:p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12297" w:type="dxa"/>
          </w:tcPr>
          <w:p>
            <w:pPr>
              <w:adjustRightInd w:val="0"/>
              <w:spacing w:line="360" w:lineRule="auto"/>
              <w:jc w:val="left"/>
            </w:pPr>
            <w:r>
              <w:rPr>
                <w:rFonts w:hint="eastAsia" w:ascii="宋体" w:hAnsi="宋体"/>
                <w:b/>
                <w:bCs/>
                <w:szCs w:val="21"/>
              </w:rPr>
              <w:t>组织进行管理评审的情况</w:t>
            </w:r>
          </w:p>
        </w:tc>
        <w:tc>
          <w:tcPr>
            <w:tcW w:w="1400" w:type="dxa"/>
          </w:tcPr>
          <w:p>
            <w:pPr>
              <w:adjustRightInd w:val="0"/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75" w:type="dxa"/>
            <w:vMerge w:val="continue"/>
          </w:tcPr>
          <w:p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>
            <w:pPr>
              <w:numPr>
                <w:ilvl w:val="0"/>
                <w:numId w:val="3"/>
              </w:numPr>
              <w:adjustRightInd w:val="0"/>
              <w:spacing w:line="360" w:lineRule="auto"/>
              <w:jc w:val="left"/>
              <w:textAlignment w:val="baseline"/>
              <w:rPr>
                <w:rFonts w:ascii="宋体"/>
              </w:rPr>
            </w:pPr>
            <w:r>
              <w:rPr>
                <w:rFonts w:hint="eastAsia" w:ascii="宋体" w:hAnsi="宋体"/>
              </w:rPr>
              <w:t>规定的管理评审频次：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</w:rPr>
              <w:t>一年一次</w:t>
            </w:r>
            <w:r>
              <w:t xml:space="preserve">  </w:t>
            </w:r>
            <w:r>
              <w:rPr>
                <w:rFonts w:hint="eastAsia"/>
              </w:rPr>
              <w:t>□其它：</w:t>
            </w:r>
            <w:r>
              <w:rPr>
                <w:rFonts w:hint="eastAsia" w:ascii="宋体" w:hAnsi="宋体"/>
                <w:u w:val="single"/>
              </w:rPr>
              <w:t>　　　　　</w:t>
            </w:r>
            <w:r>
              <w:rPr>
                <w:rFonts w:ascii="宋体" w:hAnsi="宋体"/>
                <w:u w:val="single"/>
              </w:rPr>
              <w:t xml:space="preserve">       </w:t>
            </w:r>
            <w:r>
              <w:rPr>
                <w:rFonts w:hint="eastAsia" w:ascii="宋体" w:hAnsi="宋体"/>
                <w:u w:val="single"/>
              </w:rPr>
              <w:t>　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numPr>
                <w:ilvl w:val="0"/>
                <w:numId w:val="3"/>
              </w:numPr>
              <w:adjustRightInd w:val="0"/>
              <w:spacing w:line="360" w:lineRule="auto"/>
              <w:jc w:val="left"/>
              <w:textAlignment w:val="baseline"/>
              <w:rPr>
                <w:rFonts w:ascii="宋体"/>
              </w:rPr>
            </w:pPr>
            <w:r>
              <w:rPr>
                <w:rFonts w:hint="eastAsia" w:ascii="宋体" w:hAnsi="宋体"/>
              </w:rPr>
              <w:t>本次管理评审于</w:t>
            </w:r>
            <w:r>
              <w:rPr>
                <w:rFonts w:hint="eastAsia" w:ascii="宋体" w:hAnsi="宋体"/>
                <w:u w:val="single"/>
              </w:rPr>
              <w:t>　2020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  <w:u w:val="single"/>
              </w:rPr>
              <w:t>　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>　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6</w:t>
            </w:r>
            <w:r>
              <w:rPr>
                <w:rFonts w:hint="eastAsia" w:ascii="宋体" w:hAnsi="宋体"/>
                <w:u w:val="single"/>
              </w:rPr>
              <w:t>　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>　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/>
                <w:u w:val="single"/>
              </w:rPr>
              <w:t>　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日</w:t>
            </w:r>
            <w:r>
              <w:rPr>
                <w:rFonts w:hint="eastAsia" w:ascii="宋体" w:hAnsi="宋体"/>
              </w:rPr>
              <w:t>实施，由最高管理者：</w:t>
            </w:r>
            <w:r>
              <w:rPr>
                <w:rFonts w:hint="eastAsia" w:ascii="宋体" w:hAnsi="宋体"/>
                <w:szCs w:val="22"/>
                <w:u w:val="single"/>
              </w:rPr>
              <w:t xml:space="preserve">姚健 </w:t>
            </w:r>
            <w:r>
              <w:rPr>
                <w:rFonts w:hint="eastAsia" w:ascii="宋体" w:hAnsi="宋体"/>
              </w:rPr>
              <w:t>主持，实施方式：</w:t>
            </w:r>
            <w:r>
              <w:rPr>
                <w:rFonts w:hint="eastAsia" w:ascii="宋体" w:hAnsi="宋体"/>
                <w:u w:val="single"/>
              </w:rPr>
              <w:t>　会议　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评审输入内容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 w:ascii="宋体" w:hAnsi="宋体"/>
              </w:rPr>
              <w:t>完整、充分　□不完全：</w:t>
            </w:r>
            <w:r>
              <w:rPr>
                <w:rFonts w:ascii="宋体" w:hAnsi="宋体"/>
                <w:u w:val="single"/>
              </w:rPr>
              <w:t xml:space="preserve">           </w:t>
            </w:r>
            <w:bookmarkStart w:id="3" w:name="_GoBack"/>
            <w:bookmarkEnd w:id="3"/>
          </w:p>
          <w:p>
            <w:pPr>
              <w:pStyle w:val="2"/>
              <w:spacing w:after="0" w:line="360" w:lineRule="auto"/>
              <w:ind w:left="0" w:leftChars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、管理评审报告对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ascii="宋体" w:hAnsi="宋体"/>
              </w:rPr>
              <w:t>QMS</w:t>
            </w:r>
            <w:r>
              <w:rPr>
                <w:rFonts w:hint="eastAsia" w:ascii="宋体" w:hAnsi="宋体"/>
              </w:rPr>
              <w:t>/MDQMS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ascii="宋体" w:hAnsi="宋体"/>
              </w:rPr>
              <w:t>EMS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ascii="宋体" w:hAnsi="宋体"/>
              </w:rPr>
              <w:t>OHSMS</w:t>
            </w:r>
            <w:r>
              <w:rPr>
                <w:rFonts w:hint="eastAsia" w:ascii="宋体" w:hAnsi="宋体"/>
              </w:rPr>
              <w:t>的适宜性、充分性和有效性的结论：</w:t>
            </w:r>
            <w:r>
              <w:rPr>
                <w:rFonts w:hint="eastAsia" w:ascii="宋体" w:hAnsi="宋体"/>
                <w:u w:val="single"/>
              </w:rPr>
              <w:t>公司的管理体系是适宜的、充分的和有效的，达到了顾客满意和持续改进的目的。</w:t>
            </w:r>
          </w:p>
        </w:tc>
        <w:tc>
          <w:tcPr>
            <w:tcW w:w="1400" w:type="dxa"/>
          </w:tcPr>
          <w:p>
            <w:pPr>
              <w:adjustRightInd w:val="0"/>
              <w:spacing w:line="360" w:lineRule="auto"/>
              <w:jc w:val="left"/>
            </w:pPr>
            <w:r>
              <w:t>Ok</w:t>
            </w:r>
          </w:p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8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hBqrl1gAA&#10;AAoBAAAPAAAAAAAAAAEAIAAAACIAAABkcnMvZG93bnJldi54bWxQSwECFAAUAAAACACHTuJAk5CH&#10;va4BAAAyAwAADgAAAAAAAAABACAAAAAlAQAAZHJzL2Uyb0RvYy54bWxQSwUGAAAAAAYABgBZAQAA&#10;R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4D6C6DE1"/>
    <w:multiLevelType w:val="multilevel"/>
    <w:tmpl w:val="4D6C6DE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5EC8E2C"/>
    <w:multiLevelType w:val="singleLevel"/>
    <w:tmpl w:val="65EC8E2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3373A"/>
    <w:rsid w:val="000B681D"/>
    <w:rsid w:val="000C3ED3"/>
    <w:rsid w:val="000C5CF3"/>
    <w:rsid w:val="00105A91"/>
    <w:rsid w:val="0017552D"/>
    <w:rsid w:val="001A2D7F"/>
    <w:rsid w:val="001A7F36"/>
    <w:rsid w:val="001B046E"/>
    <w:rsid w:val="001D337D"/>
    <w:rsid w:val="001D4C22"/>
    <w:rsid w:val="001F66CC"/>
    <w:rsid w:val="00223869"/>
    <w:rsid w:val="00260CC9"/>
    <w:rsid w:val="002874F1"/>
    <w:rsid w:val="00337922"/>
    <w:rsid w:val="00340867"/>
    <w:rsid w:val="00380837"/>
    <w:rsid w:val="003A0CE0"/>
    <w:rsid w:val="003C32F3"/>
    <w:rsid w:val="003D5A07"/>
    <w:rsid w:val="00410914"/>
    <w:rsid w:val="0041320E"/>
    <w:rsid w:val="00415094"/>
    <w:rsid w:val="00415B1B"/>
    <w:rsid w:val="00451A33"/>
    <w:rsid w:val="004C0A15"/>
    <w:rsid w:val="004E2167"/>
    <w:rsid w:val="005010A9"/>
    <w:rsid w:val="005317D0"/>
    <w:rsid w:val="00535804"/>
    <w:rsid w:val="00536930"/>
    <w:rsid w:val="00564E53"/>
    <w:rsid w:val="00627C09"/>
    <w:rsid w:val="0063008F"/>
    <w:rsid w:val="00644FE2"/>
    <w:rsid w:val="006522FC"/>
    <w:rsid w:val="0067640C"/>
    <w:rsid w:val="006C013F"/>
    <w:rsid w:val="006E678B"/>
    <w:rsid w:val="006E6F54"/>
    <w:rsid w:val="006F2303"/>
    <w:rsid w:val="006F3492"/>
    <w:rsid w:val="00704C48"/>
    <w:rsid w:val="00707079"/>
    <w:rsid w:val="00720D57"/>
    <w:rsid w:val="00767D6A"/>
    <w:rsid w:val="007757F3"/>
    <w:rsid w:val="007770E5"/>
    <w:rsid w:val="00777A1C"/>
    <w:rsid w:val="00797298"/>
    <w:rsid w:val="007A0A3C"/>
    <w:rsid w:val="007B6770"/>
    <w:rsid w:val="007E6AEB"/>
    <w:rsid w:val="007F48C3"/>
    <w:rsid w:val="00806119"/>
    <w:rsid w:val="00824194"/>
    <w:rsid w:val="00871C15"/>
    <w:rsid w:val="008973EE"/>
    <w:rsid w:val="008B7684"/>
    <w:rsid w:val="008C7631"/>
    <w:rsid w:val="008C7D6A"/>
    <w:rsid w:val="008E438A"/>
    <w:rsid w:val="00963B80"/>
    <w:rsid w:val="00971600"/>
    <w:rsid w:val="00977BD1"/>
    <w:rsid w:val="00991DF1"/>
    <w:rsid w:val="009973B4"/>
    <w:rsid w:val="009D4AA2"/>
    <w:rsid w:val="009F7EED"/>
    <w:rsid w:val="00A165E5"/>
    <w:rsid w:val="00A36241"/>
    <w:rsid w:val="00A36AEB"/>
    <w:rsid w:val="00A828D6"/>
    <w:rsid w:val="00A83A12"/>
    <w:rsid w:val="00AF0AAB"/>
    <w:rsid w:val="00B258C1"/>
    <w:rsid w:val="00B372C3"/>
    <w:rsid w:val="00B76169"/>
    <w:rsid w:val="00BF597E"/>
    <w:rsid w:val="00C20688"/>
    <w:rsid w:val="00C51A36"/>
    <w:rsid w:val="00C55228"/>
    <w:rsid w:val="00C65DCB"/>
    <w:rsid w:val="00C8266A"/>
    <w:rsid w:val="00CE315A"/>
    <w:rsid w:val="00D06F59"/>
    <w:rsid w:val="00D15479"/>
    <w:rsid w:val="00D22989"/>
    <w:rsid w:val="00D8388C"/>
    <w:rsid w:val="00D95304"/>
    <w:rsid w:val="00DA6B59"/>
    <w:rsid w:val="00DC6669"/>
    <w:rsid w:val="00DD07F0"/>
    <w:rsid w:val="00DE147C"/>
    <w:rsid w:val="00E305F2"/>
    <w:rsid w:val="00EB0164"/>
    <w:rsid w:val="00EB0E99"/>
    <w:rsid w:val="00ED0F62"/>
    <w:rsid w:val="00ED624B"/>
    <w:rsid w:val="00F449F3"/>
    <w:rsid w:val="00F71ED3"/>
    <w:rsid w:val="108219C2"/>
    <w:rsid w:val="112203B3"/>
    <w:rsid w:val="19142F08"/>
    <w:rsid w:val="49240F79"/>
    <w:rsid w:val="4A696F93"/>
    <w:rsid w:val="549E258D"/>
    <w:rsid w:val="5EA12B9A"/>
    <w:rsid w:val="6A6C18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590</Words>
  <Characters>3369</Characters>
  <Lines>28</Lines>
  <Paragraphs>7</Paragraphs>
  <TotalTime>1</TotalTime>
  <ScaleCrop>false</ScaleCrop>
  <LinksUpToDate>false</LinksUpToDate>
  <CharactersWithSpaces>3952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2019-12-22T02:54:00Z</dcterms:created>
  <dc:creator>微软用户</dc:creator>
  <cp:lastModifiedBy>开门大吉～ISO认证服务</cp:lastModifiedBy>
  <cp:lastPrinted>2019-06-14T02:57:00Z</cp:lastPrinted>
  <dcterms:modified xsi:type="dcterms:W3CDTF">2020-08-06T04:00:45Z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