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20619-2025-QEO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107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北京中思玮业会计师事务所（普通合伙）</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王冰、牛晓光、岳艳玲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313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北京中思玮业会计师事务所（普通合伙）</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2024-N1QMS-1456075</w:t>
            </w:r>
          </w:p>
        </w:tc>
        <w:tc>
          <w:tcPr>
            <w:tcW w:w="3145" w:type="dxa"/>
            <w:vAlign w:val="center"/>
          </w:tcPr>
          <w:p w14:paraId="1EF07270">
            <w:pPr>
              <w:spacing w:line="360" w:lineRule="exact"/>
              <w:jc w:val="center"/>
              <w:rPr>
                <w:szCs w:val="21"/>
              </w:rPr>
            </w:pPr>
            <w:r>
              <w:t>35.02.00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王冰</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2024-N1EMS-1456075</w:t>
            </w:r>
          </w:p>
        </w:tc>
        <w:tc>
          <w:tcPr>
            <w:tcW w:w="3145" w:type="dxa"/>
            <w:vAlign w:val="center"/>
          </w:tcPr>
          <w:p w14:paraId="0773CEA1">
            <w:pPr>
              <w:spacing w:line="360" w:lineRule="exact"/>
              <w:jc w:val="center"/>
            </w:pPr>
            <w:r>
              <w:t>35.02.00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王冰</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2024-N1OHSMS-1456075</w:t>
            </w:r>
          </w:p>
        </w:tc>
        <w:tc>
          <w:tcPr>
            <w:tcW w:w="3145" w:type="dxa"/>
            <w:vAlign w:val="center"/>
          </w:tcPr>
          <w:p w14:paraId="7F43F701">
            <w:pPr>
              <w:spacing w:line="360" w:lineRule="exact"/>
              <w:jc w:val="center"/>
            </w:pPr>
            <w:r>
              <w:t>35.02.00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2023-N0QMS-2237458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2023-N0OHSMS-1237458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2024-N1QMS-1319559</w:t>
            </w:r>
          </w:p>
        </w:tc>
        <w:tc>
          <w:tcPr>
            <w:tcW w:w="3145" w:type="dxa"/>
            <w:vAlign w:val="center"/>
          </w:tcPr>
          <w:p>
            <w:pPr>
              <w:jc w:val="center"/>
            </w:pPr>
            <w:r>
              <w:t>35.02.00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2024-N1EMS-1319559</w:t>
            </w:r>
          </w:p>
        </w:tc>
        <w:tc>
          <w:tcPr>
            <w:tcW w:w="3145" w:type="dxa"/>
            <w:vAlign w:val="center"/>
          </w:tcPr>
          <w:p>
            <w:pPr>
              <w:jc w:val="center"/>
            </w:pPr>
            <w:r>
              <w:t>35.02.00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2024-N1OHSMS-1319559</w:t>
            </w:r>
          </w:p>
        </w:tc>
        <w:tc>
          <w:tcPr>
            <w:tcW w:w="3145" w:type="dxa"/>
            <w:vAlign w:val="center"/>
          </w:tcPr>
          <w:p>
            <w:pPr>
              <w:jc w:val="center"/>
            </w:pPr>
            <w:r>
              <w:t>35.02.00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2025年05月14日上午至2025年05月15日下午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Q:审计服务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E:审计服务所涉及场所的相关环境管理活动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O:审计服务所涉及场所的相关职业健康安全管理活动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北京市海淀区阜外亮甲店1号恩济西园10号楼东一门东206室</w:t>
      </w:r>
    </w:p>
    <w:p w14:paraId="5FB2C4BD">
      <w:pPr>
        <w:spacing w:line="360" w:lineRule="auto"/>
        <w:ind w:firstLine="420" w:firstLineChars="200"/>
      </w:pPr>
      <w:r>
        <w:rPr>
          <w:rFonts w:hint="eastAsia"/>
        </w:rPr>
        <w:t>办公地址：</w:t>
      </w:r>
      <w:r>
        <w:rPr>
          <w:rFonts w:hint="eastAsia"/>
        </w:rPr>
        <w:t>北京市海淀区阜外亮甲店1号恩济西园10号楼东一门东206室</w:t>
      </w:r>
    </w:p>
    <w:p w14:paraId="3E2A92FF">
      <w:pPr>
        <w:spacing w:line="360" w:lineRule="auto"/>
        <w:ind w:firstLine="420" w:firstLineChars="200"/>
      </w:pPr>
      <w:r>
        <w:rPr>
          <w:rFonts w:hint="eastAsia"/>
        </w:rPr>
        <w:t>经营地址：</w:t>
      </w:r>
      <w:bookmarkStart w:id="14" w:name="生产地址"/>
      <w:bookmarkEnd w:id="14"/>
      <w:r>
        <w:rPr>
          <w:rFonts w:hint="eastAsia"/>
        </w:rPr>
        <w:t>北京市海淀区阜外亮甲店1号恩济西园10号楼东一门东206室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2025年05月12日 14:00至2025年05月12日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北京中思玮业会计师事务所（普通合伙）</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王冰、牛晓光、岳艳玲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857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