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20249-2024-EO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成都欧林生物科技股份有限公司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余家龙</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91510100698860749H</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成都欧林生物科技股份有限公司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成都高新区天欣路99号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成都高新区天欣路99号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E:资质许可范围内吸附破伤风疫苗、b型流感嗜血杆菌结合疫苗、A群C群脑膜炎球菌多糖结合疫苗的研发及生产所涉及场所的相关环境管理活动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O:资质许可范围内吸附破伤风疫苗、b型流感嗜血杆菌结合疫苗、A群C群脑膜炎球菌多糖结合疫苗的研发及生产所涉及场所的相关职业健康安全管理活动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成都欧林生物科技股份有限公司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成都高新区天欣路99号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成都高新区天欣路99号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E:资质许可范围内吸附破伤风疫苗、b型流感嗜血杆菌结合疫苗、A群C群脑膜炎球菌多糖结合疫苗的研发及生产所涉及场所的相关环境管理活动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O:资质许可范围内吸附破伤风疫苗、b型流感嗜血杆菌结合疫苗、A群C群脑膜炎球菌多糖结合疫苗的研发及生产所涉及场所的相关职业健康安全管理活动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0333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