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20249-2024-EO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成都欧林生物科技股份有限公司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余家龙</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91510100698860749H</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成都欧林生物科技股份有限公司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成都高新区天欣路99号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成都高新区天欣路99号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E:资质许可范围内吸附破伤风疫苗、b型流感嗜血杆菌结合疫苗、A群C群脑膜炎球菌多糖结合疫苗的研发及生产所涉及场所的相关环境管理活动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O:资质许可范围内吸附破伤风疫苗、b型流感嗜血杆菌结合疫苗、A群C群脑膜炎球菌多糖结合疫苗的研发及生产所涉及场所的相关职业健康安全管理活动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成都欧林生物科技股份有限公司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成都高新区天欣路99号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成都高新区天欣路99号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E:资质许可范围内吸附破伤风疫苗、b型流感嗜血杆菌结合疫苗、A群C群脑膜炎球菌多糖结合疫苗的研发及生产所涉及场所的相关环境管理活动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O:资质许可范围内吸附破伤风疫苗、b型流感嗜血杆菌结合疫苗、A群C群脑膜炎球菌多糖结合疫苗的研发及生产所涉及场所的相关职业健康安全管理活动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9017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