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Theme="minorEastAsia" w:hAnsiTheme="minorEastAsia" w:eastAsiaTheme="minorEastAsia"/>
          <w:sz w:val="24"/>
          <w:szCs w:val="24"/>
        </w:rPr>
        <w:t>河北安佳电热设备科技有限公司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2018-N1EMS-2072033</w:t>
            </w:r>
          </w:p>
          <w:p>
            <w:pPr>
              <w:jc w:val="center"/>
              <w:rPr>
                <w:b/>
                <w:sz w:val="21"/>
                <w:szCs w:val="21"/>
              </w:rPr>
            </w:pPr>
            <w:r>
              <w:rPr>
                <w:b/>
                <w:sz w:val="21"/>
                <w:szCs w:val="21"/>
              </w:rPr>
              <w:t>2018-N1OHSMS-2072033</w:t>
            </w:r>
          </w:p>
        </w:tc>
        <w:tc>
          <w:tcPr>
            <w:tcW w:w="1728" w:type="dxa"/>
            <w:gridSpan w:val="2"/>
            <w:vAlign w:val="center"/>
          </w:tcPr>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2018-N1EMS-2201919</w:t>
            </w:r>
          </w:p>
          <w:p>
            <w:pPr>
              <w:jc w:val="center"/>
              <w:rPr>
                <w:b/>
                <w:sz w:val="21"/>
                <w:szCs w:val="21"/>
              </w:rPr>
            </w:pPr>
            <w:r>
              <w:rPr>
                <w:b/>
                <w:sz w:val="21"/>
                <w:szCs w:val="21"/>
              </w:rPr>
              <w:t>2019-N1OHSMS-2201919</w:t>
            </w:r>
          </w:p>
        </w:tc>
        <w:tc>
          <w:tcPr>
            <w:tcW w:w="1728" w:type="dxa"/>
            <w:gridSpan w:val="2"/>
            <w:vAlign w:val="center"/>
          </w:tcPr>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ISC-2201919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河北安佳电热设备科技有限公司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河北省廊坊市文安县史各庄镇南新村</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065800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河北省廊坊市文安县史各庄镇南新村</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065800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河北省廊坊市文安县史各庄镇南新村</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065800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李阳</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0316-56678899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hint="eastAsia" w:ascii="宋体" w:hAnsi="宋体"/>
                <w:b/>
                <w:sz w:val="21"/>
                <w:szCs w:val="21"/>
              </w:rPr>
            </w:pPr>
            <w:bookmarkStart w:id="20" w:name="法人"/>
            <w:r>
              <w:rPr>
                <w:rFonts w:hint="eastAsia" w:ascii="宋体" w:hAnsi="宋体"/>
                <w:b/>
                <w:sz w:val="21"/>
                <w:szCs w:val="21"/>
              </w:rPr>
              <w:t>李阳</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hint="eastAsia" w:ascii="宋体" w:hAnsi="宋体"/>
                <w:b/>
                <w:sz w:val="21"/>
                <w:szCs w:val="21"/>
                <w:lang w:val="en-US" w:eastAsia="zh-CN"/>
              </w:rPr>
            </w:pPr>
            <w:r>
              <w:rPr>
                <w:rFonts w:hint="eastAsia" w:ascii="宋体" w:hAnsi="宋体"/>
                <w:b/>
                <w:sz w:val="21"/>
                <w:szCs w:val="21"/>
                <w:lang w:val="en-US" w:eastAsia="zh-CN"/>
              </w:rPr>
              <w:t>李阳</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hint="default" w:ascii="宋体" w:hAnsi="宋体"/>
                <w:b/>
                <w:sz w:val="21"/>
                <w:szCs w:val="21"/>
                <w:lang w:val="en-US" w:eastAsia="zh-CN"/>
              </w:rPr>
            </w:pPr>
            <w:r>
              <w:rPr>
                <w:rFonts w:hint="eastAsia" w:ascii="宋体" w:hAnsi="宋体"/>
                <w:b/>
                <w:sz w:val="21"/>
                <w:szCs w:val="21"/>
                <w:lang w:val="en-US" w:eastAsia="zh-CN"/>
              </w:rPr>
              <w:t>李合强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2020年10月17日 上午至2020年10月18日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3C认证范围内的电暖器（碳纤维、碳晶）、碳纤维发热电缆、碳纤维发热线的销售及相关环境管理活动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认证范围内的电暖器（碳纤维、碳晶）、碳纤维发热电缆、碳纤维发热线的销售及相关职业健康安全管理活动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2022年6月13日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hAnsi="宋体" w:cs="Times New Roman"/>
                <w:b/>
                <w:sz w:val="21"/>
                <w:szCs w:val="21"/>
                <w:lang w:val="en-US" w:eastAsia="zh-CN"/>
              </w:rPr>
            </w:pPr>
            <w:r>
              <w:rPr>
                <w:rFonts w:hint="eastAsia" w:ascii="宋体" w:hAnsi="宋体" w:cs="Times New Roman"/>
                <w:b/>
                <w:sz w:val="21"/>
                <w:szCs w:val="21"/>
                <w:lang w:val="en-US" w:eastAsia="zh-CN"/>
              </w:rPr>
              <w:t>2019-05-28</w:t>
            </w:r>
            <w:r>
              <w:rPr>
                <w:rFonts w:hint="eastAsia" w:ascii="仿宋" w:hAnsi="仿宋" w:eastAsia="仿宋" w:cs="仿宋"/>
                <w:b/>
                <w:sz w:val="21"/>
                <w:szCs w:val="21"/>
                <w:lang w:val="en-US" w:eastAsia="zh-CN"/>
              </w:rPr>
              <w:t>～</w:t>
            </w:r>
            <w:r>
              <w:rPr>
                <w:rFonts w:hint="eastAsia" w:ascii="宋体" w:hAnsi="宋体" w:cs="Times New Roman"/>
                <w:b/>
                <w:sz w:val="21"/>
                <w:szCs w:val="21"/>
                <w:lang w:val="en-US" w:eastAsia="zh-CN"/>
              </w:rPr>
              <w:t xml:space="preserve"> 2019-06-01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sz w:val="20"/>
          <w:szCs w:val="22"/>
          <w:lang w:val="en-US" w:eastAsia="zh-CN"/>
        </w:rPr>
        <w:t>无</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sz w:val="20"/>
        </w:rPr>
        <w:t>电暖器（碳纤维、碳晶）、碳纤维发热电缆、碳纤维发热线</w:t>
      </w:r>
      <w:r>
        <w:rPr>
          <w:rFonts w:hint="eastAsia"/>
          <w:sz w:val="20"/>
          <w:lang w:val="en-US" w:eastAsia="zh-CN"/>
        </w:rPr>
        <w:t>的销售。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ascii="宋体" w:hAnsi="宋体" w:eastAsia="宋体" w:cs="Arial"/>
                <w:color w:val="auto"/>
                <w:spacing w:val="-6"/>
                <w:sz w:val="21"/>
                <w:szCs w:val="21"/>
                <w:lang w:val="en-US" w:eastAsia="zh-CN"/>
              </w:rPr>
              <w:t>编制了《外部环境识别、评价表》包括内外部环境因素、日常监视、评价等内容其中；</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外部环境因素“12”条、包括“国内、廊坊市、区等适用的法律法规、技术.材料、设备、职业道德准则）、竞争力（市场占有率、服务领先者趋势、服务方式的变化）、市场（顾客增长趋势、市场稳定性）、社会（失业率、安全感、教育水平、工作时间等）和经济因素（国家经济走向、通货膨胀、信贷可得性）”等；</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内部环境因素“9”条、包括“本公司的价值观、文化、知识和体系绩效等相关因素。包括：资源因素、财务因素、人的因素、运营因素、决策过程及职责分配”等；</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——查上述内容组织宗旨战略方向基本相关、并对质量环境及安全管理体系实现策划能力可以产生一定影响；</w:t>
            </w:r>
          </w:p>
          <w:p>
            <w:pPr>
              <w:spacing w:line="240" w:lineRule="exact"/>
              <w:rPr>
                <w:rFonts w:hint="eastAsia" w:ascii="宋体" w:hAnsi="宋体" w:eastAsia="宋体"/>
                <w:b/>
                <w:sz w:val="21"/>
                <w:szCs w:val="21"/>
                <w:lang w:eastAsia="zh-CN"/>
              </w:rPr>
            </w:pPr>
            <w:r>
              <w:rPr>
                <w:rFonts w:hint="eastAsia" w:ascii="宋体" w:hAnsi="宋体" w:eastAsia="宋体" w:cs="Arial"/>
                <w:color w:val="auto"/>
                <w:spacing w:val="-6"/>
                <w:sz w:val="21"/>
                <w:szCs w:val="21"/>
                <w:lang w:val="en-US" w:eastAsia="zh-CN"/>
              </w:rPr>
              <w:t>成文信息及时更新日期“2020.1.8.”、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宋体" w:hAnsi="宋体" w:eastAsia="宋体" w:cs="Arial"/>
                <w:color w:val="auto"/>
                <w:spacing w:val="-6"/>
                <w:sz w:val="21"/>
                <w:szCs w:val="21"/>
                <w:lang w:val="en-US" w:eastAsia="zh-CN"/>
              </w:rPr>
              <w:t>编制了《相关方期望或要求识别表》包括相关方及其需要的内容、及监视和评审记录基本有效、参评人等信息；</w:t>
            </w:r>
          </w:p>
          <w:p>
            <w:pPr>
              <w:adjustRightInd w:val="0"/>
              <w:snapToGrid w:val="0"/>
              <w:spacing w:line="320" w:lineRule="exact"/>
              <w:ind w:right="120" w:rightChars="50"/>
              <w:textAlignment w:val="baseline"/>
              <w:rPr>
                <w:rFonts w:hint="eastAsia" w:ascii="宋体" w:hAnsi="宋体" w:eastAsia="宋体"/>
                <w:b/>
                <w:sz w:val="21"/>
                <w:szCs w:val="21"/>
                <w:lang w:eastAsia="zh-CN"/>
              </w:rPr>
            </w:pPr>
            <w:r>
              <w:rPr>
                <w:rFonts w:hint="eastAsia" w:ascii="宋体" w:hAnsi="宋体" w:eastAsia="宋体" w:cs="Arial"/>
                <w:color w:val="auto"/>
                <w:spacing w:val="-6"/>
                <w:sz w:val="21"/>
                <w:szCs w:val="21"/>
                <w:lang w:val="en-US" w:eastAsia="zh-CN"/>
              </w:rPr>
              <w:t>其中相关方共14条、具体“顾客/最终消费者、员工、政府、外部供方、竞争对手、相邻单位、员工稳定增长的收入和福利、职业成长、职业安全；社会/社区：积极投入公益与社区建设 环境保护、社会公益”等；其需求包括“顾客的要求、例如符合性、价格、安全性”、“与顾客达成的商业合同”、“行业规范及标准”、“行业许可、营业执照、其他授权”、“条约、公约、草案”、“和公共机构及顾客的协议”等；组织监视和评审这些相关方的信息及其相关要求基本有效。成文信息及时更新日期“2020.1.8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adjustRightInd w:val="0"/>
              <w:snapToGrid w:val="0"/>
              <w:spacing w:line="320" w:lineRule="exact"/>
              <w:ind w:right="120" w:rightChars="50"/>
              <w:textAlignment w:val="baseline"/>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eastAsia="宋体" w:cs="Arial"/>
                <w:color w:val="auto"/>
                <w:spacing w:val="-6"/>
                <w:sz w:val="21"/>
                <w:szCs w:val="21"/>
                <w:lang w:val="en-US" w:eastAsia="zh-CN"/>
              </w:rPr>
              <w:t>提供了本组织的质量环境和职业健康安全方针具体为“节能减排降耗、减少环境污染、持续改善环境、遵守法规要求、安全第一、预防为主、遵纪守法、防治结合， 持续改进，追求卓越”，查其内容基本适应组织的宗旨和环境并支持其战略方向；为制定质量/环境/职业健康安全方针目标提供框架；包括满足适用要求的承诺；包括持续改进质量管理体系的承诺，内容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ascii="宋体" w:hAnsi="宋体" w:eastAsia="宋体" w:cs="Arial"/>
                <w:color w:val="auto"/>
                <w:spacing w:val="-6"/>
                <w:sz w:val="21"/>
                <w:szCs w:val="21"/>
                <w:lang w:val="en-US" w:eastAsia="zh-CN"/>
              </w:rPr>
              <w:t>编制了《环境风险和机遇评估分析表》考虑到了“环境因素、合规义务、内外部因素、相关方及其需求”等内容其中：识别的环境风险（不良环境影响）机遇4条、具体包括“对环境因素识别不充分导致环境污染的发生。重要环境因素识别不充分导致严重环境污染的发生，对相关环境法律法规识别不充分导致违法行为的发生。使用失效的法律法规导致违法行为的发生。对相关法律法规理解不透彻导致违法行为的发生”等；</w:t>
            </w:r>
          </w:p>
          <w:p>
            <w:pPr>
              <w:adjustRightInd w:val="0"/>
              <w:snapToGrid w:val="0"/>
              <w:spacing w:line="320" w:lineRule="exact"/>
              <w:ind w:right="120" w:rightChars="50"/>
              <w:textAlignment w:val="baseline"/>
              <w:rPr>
                <w:rFonts w:hint="eastAsia" w:ascii="宋体" w:hAnsi="宋体" w:eastAsia="宋体"/>
                <w:b/>
                <w:sz w:val="21"/>
                <w:szCs w:val="21"/>
                <w:lang w:eastAsia="zh-CN"/>
              </w:rPr>
            </w:pPr>
            <w:r>
              <w:rPr>
                <w:rFonts w:hint="eastAsia" w:ascii="宋体" w:hAnsi="宋体" w:eastAsia="宋体" w:cs="Arial"/>
                <w:color w:val="auto"/>
                <w:spacing w:val="-6"/>
                <w:sz w:val="21"/>
                <w:szCs w:val="21"/>
                <w:lang w:val="en-US" w:eastAsia="zh-CN"/>
              </w:rPr>
              <w:t>相应的控制措施“加强环境相关知识在组织的积累，努力拓宽环境知识收集渠道。每年针对环境因素再评价时要重点关注法律法规、相关环境知识的更新情况，及时作出调整。对重要环境因素识别工作的细节严格按照程序文件规定的方法进行，防止错误和遗漏发生；加强法律法规识别的评审工作，对适宜性重点评审，做到不遗漏。认真核对法律法规的版本的有效性。加强法律法规的培训与学习，并及时验证培训的有效性”等；  措施评审结论“有效”、有责任部门和相关人员评价要求信息；文件更新2020.1.8；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环境因素识别与评价表》环境因素“23”项、具体“水电纸张消耗、废旧墨盒硒鼓废弃、潜在火灾等——有相应的控制措施、及涉及人员和相关方信息、未见明显遗漏；确定的环境影响“3”项、具体为大气污染、土壤污染和原材料及能源消耗等 ；有三种时态和状态的说明；</w:t>
            </w:r>
          </w:p>
          <w:p>
            <w:pPr>
              <w:adjustRightInd w:val="0"/>
              <w:snapToGrid w:val="0"/>
              <w:spacing w:line="320" w:lineRule="exact"/>
              <w:ind w:right="120" w:rightChars="50"/>
              <w:textAlignment w:val="baseline"/>
              <w:rPr>
                <w:rFonts w:ascii="宋体" w:hAnsi="宋体"/>
                <w:b/>
                <w:sz w:val="21"/>
                <w:szCs w:val="21"/>
              </w:rPr>
            </w:pPr>
            <w:r>
              <w:rPr>
                <w:rFonts w:hint="eastAsia" w:ascii="宋体" w:hAnsi="宋体" w:eastAsia="宋体" w:cs="Arial"/>
                <w:color w:val="auto"/>
                <w:spacing w:val="-6"/>
                <w:sz w:val="21"/>
                <w:szCs w:val="21"/>
                <w:lang w:val="en-US" w:eastAsia="zh-CN"/>
              </w:rPr>
              <w:t>对环境影响评价方法为（打分法 ）；提供了《重要环境因素清单》“2”项、主要为“火灾危废（墨盒硒鼓）”，有控制方法的相关内容，查环境因素识别基本符合实际情况，未见明显遗漏、评价基本准确；对应了风险和机遇中重要环境因素的相关信息、未见明显遗漏，符合规定；上述文件有编审批、更新日期2020.1.8 ；近一年来现场环境基本没有发生变化；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hint="eastAsia" w:ascii="宋体" w:hAnsi="宋体" w:eastAsia="宋体" w:cs="Times New Roman"/>
                <w:b/>
                <w:sz w:val="21"/>
                <w:szCs w:val="21"/>
              </w:rPr>
            </w:pPr>
            <w:r>
              <w:t>7.</w:t>
            </w:r>
            <w:r>
              <w:rPr>
                <w:rFonts w:hint="eastAsia" w:ascii="宋体" w:hAnsi="宋体" w:eastAsia="宋体" w:cs="Times New Roman"/>
                <w:b/>
                <w:sz w:val="21"/>
                <w:szCs w:val="21"/>
              </w:rPr>
              <w:t xml:space="preserve"> </w:t>
            </w:r>
            <w:r>
              <w:rPr>
                <w:rFonts w:hint="eastAsia" w:ascii="宋体" w:hAnsi="宋体" w:eastAsia="宋体" w:cs="Times New Roman"/>
                <w:b/>
                <w:sz w:val="21"/>
                <w:szCs w:val="21"/>
                <w:lang w:eastAsia="zh-CN"/>
              </w:rPr>
              <w:t>☑</w:t>
            </w:r>
            <w:r>
              <w:rPr>
                <w:rFonts w:hint="eastAsia" w:ascii="宋体" w:hAnsi="宋体" w:eastAsia="宋体" w:cs="Times New Roman"/>
                <w:b/>
                <w:sz w:val="21"/>
                <w:szCs w:val="21"/>
              </w:rPr>
              <w:t>OHSMS职业健康安全危险源</w:t>
            </w:r>
          </w:p>
          <w:p>
            <w:pPr>
              <w:spacing w:line="300" w:lineRule="exact"/>
              <w:rPr>
                <w:rFonts w:hint="eastAsia" w:ascii="宋体" w:hAnsi="宋体" w:eastAsia="宋体" w:cs="Times New Roman"/>
                <w:b/>
                <w:sz w:val="21"/>
                <w:szCs w:val="21"/>
              </w:rPr>
            </w:pPr>
            <w:r>
              <w:rPr>
                <w:rFonts w:hint="eastAsia" w:ascii="宋体" w:hAnsi="宋体" w:eastAsia="宋体" w:cs="Times New Roman"/>
                <w:b/>
                <w:sz w:val="21"/>
                <w:szCs w:val="21"/>
              </w:rPr>
              <w:t>（职业健康安全危险源辨识是否充分、风险评价合理性，以及风险评价动态变更的及时性等）</w:t>
            </w:r>
          </w:p>
          <w:p>
            <w:pPr>
              <w:adjustRightInd w:val="0"/>
              <w:snapToGrid w:val="0"/>
              <w:spacing w:line="320" w:lineRule="exact"/>
              <w:ind w:right="120" w:rightChars="50"/>
              <w:textAlignment w:val="baseline"/>
            </w:pPr>
            <w:r>
              <w:rPr>
                <w:rFonts w:hint="eastAsia" w:ascii="宋体" w:hAnsi="宋体" w:eastAsia="宋体" w:cs="Arial"/>
                <w:color w:val="auto"/>
                <w:spacing w:val="-6"/>
                <w:sz w:val="21"/>
                <w:szCs w:val="21"/>
                <w:lang w:val="en-US" w:eastAsia="zh-CN"/>
              </w:rPr>
              <w:t>编制了《危险源辨识、风险评价和控制策划表》识别的危险源“13”项、包括“电气漏电、火灾、电脑操作人员久坐、饮水机操作”等——查基本没有遗漏；对上述识别的危险源确定了相应的危害内容（火灾、触电等）；采用LECD评价法、风险等级为中度“12”项、不接受的风险“1”项；评价出的重大危险源“1”项、具体为“火灾”、查评价基本准确；控制措施包括“个人防护、培训教育、检查消除”等；文件有编审批更新日期“2020.1.8.”；查近一年 场地环境没有变化；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5"/>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5"/>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5"/>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val="0"/>
                <w:bCs/>
                <w:szCs w:val="21"/>
                <w:lang w:val="en-US" w:eastAsia="zh-CN"/>
              </w:rPr>
              <w:t>板报、会议等。</w:t>
            </w:r>
          </w:p>
          <w:p>
            <w:pPr>
              <w:pStyle w:val="15"/>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宋体" w:hAnsi="宋体"/>
                <w:b/>
                <w:sz w:val="21"/>
                <w:szCs w:val="21"/>
              </w:rPr>
              <w:t>（在相关层次上建立可测量的目标，目标、方案的有效性，对质量目标的实现情况进行评价并叙述测量方法）</w:t>
            </w:r>
            <w:r>
              <w:rPr>
                <w:rFonts w:hint="eastAsia" w:ascii="Times New Roman" w:hAnsi="Times New Roman" w:eastAsia="宋体" w:cs="Times New Roman"/>
                <w:szCs w:val="22"/>
                <w:lang w:val="en-US" w:eastAsia="zh-CN"/>
              </w:rPr>
              <w:t>公司环境职业健康安全目标/指标“火灾事故为零。固体废弃物处置率100%、火灾为0、触电事故为零；轻伤事故率在2‰以内，重大安全事故为零。”；</w:t>
            </w:r>
          </w:p>
          <w:p>
            <w:pPr>
              <w:adjustRightInd w:val="0"/>
              <w:snapToGrid w:val="0"/>
              <w:spacing w:line="320" w:lineRule="exact"/>
              <w:ind w:right="120" w:rightChars="50"/>
              <w:textAlignment w:val="baseline"/>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提供《环境目标、指标/职业健康安全目标与管理方案及实施情况一览表》查上述环境和职业健康安全目标基本与职业健康安全方针保持一致；可度量（如可行）或可进行绩效评价； 考虑：适用的要求；风险和机遇的评价结果；与员工和员工代表（如有员工代表）协商的结果；得到监视；予以沟通； 更新2020.1.8.；</w:t>
            </w:r>
          </w:p>
          <w:p>
            <w:pPr>
              <w:adjustRightInd w:val="0"/>
              <w:snapToGrid w:val="0"/>
              <w:spacing w:line="320" w:lineRule="exact"/>
              <w:ind w:right="120" w:rightChars="50"/>
              <w:textAlignment w:val="baseline"/>
              <w:rPr>
                <w:rFonts w:ascii="宋体" w:hAnsi="宋体"/>
                <w:b/>
                <w:sz w:val="21"/>
                <w:szCs w:val="21"/>
              </w:rPr>
            </w:pPr>
            <w:r>
              <w:rPr>
                <w:rFonts w:hint="eastAsia" w:ascii="Times New Roman" w:hAnsi="Times New Roman" w:eastAsia="宋体" w:cs="Times New Roman"/>
                <w:szCs w:val="22"/>
                <w:lang w:val="en-US" w:eastAsia="zh-CN"/>
              </w:rPr>
              <w:t>另查目标指标方案中已经包含了：具体工作内容、需要资源财力、负责人、完成时间节点、包括用于监视的参数的结果评价方式、措施在其业务过程中的应用情况；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建立并保持了《文件控制程序》、《记录控制程序》，批准：总经理，李阳；对成文信息的控制进行了策划和规定；办公室文件均为有效版本,并经相关人员批准，文件以文件名称/编号/版本号进行标识，如：管理手册,编号HBAJ—SC—2019,发布日期：2019年01月08日，实施日期：2019年01月08日。程序文件19个, 编号HBAJ-CX-n-2019,发布日期：2019年01月08日，实施日期：2019年01月08日。</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受控文件清单，其中有管理手册1个、程序文件19个、三层文件16个、外来文件18个等；</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组织对文件进行了识别和保持，确保文件能为需要的人员及时获取；提供了《文件发放回收记录表》，将体系文件发放到各部门。有各部门领用人员签字。提供了《记录清单》，涉及一体化管理体系的记录有65个，对记录的编号也进行了规定，如：会议记录：编号：QR-5.6-02，编号具有唯一性。</w:t>
            </w:r>
          </w:p>
          <w:p>
            <w:pPr>
              <w:adjustRightInd w:val="0"/>
              <w:snapToGrid w:val="0"/>
              <w:spacing w:line="320" w:lineRule="exact"/>
              <w:ind w:right="120" w:rightChars="50"/>
              <w:textAlignment w:val="baseline"/>
              <w:rPr>
                <w:rFonts w:ascii="宋体" w:hAnsi="宋体"/>
                <w:b/>
                <w:sz w:val="21"/>
                <w:szCs w:val="21"/>
              </w:rPr>
            </w:pPr>
            <w:r>
              <w:rPr>
                <w:rFonts w:hint="eastAsia" w:ascii="Times New Roman" w:hAnsi="Times New Roman" w:eastAsia="宋体" w:cs="Times New Roman"/>
                <w:szCs w:val="22"/>
                <w:lang w:val="en-US" w:eastAsia="zh-CN"/>
              </w:rPr>
              <w:t>查阅了记录收集情况，以上两种记录收集情况较好，记录清晰，保存在文件夹中，并存放于文件柜中，保存符合要求。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color w:val="FF0000"/>
                <w:sz w:val="21"/>
                <w:szCs w:val="21"/>
              </w:rPr>
            </w:pPr>
            <w:r>
              <w:rPr>
                <w:rFonts w:hint="eastAsia" w:ascii="宋体" w:hAnsi="宋体" w:eastAsia="宋体" w:cs="Times New Roman"/>
                <w:b/>
                <w:sz w:val="21"/>
                <w:szCs w:val="21"/>
              </w:rPr>
              <w:t>人力资源的简要说明.:</w:t>
            </w:r>
            <w:r>
              <w:rPr>
                <w:rFonts w:hint="eastAsia" w:ascii="宋体" w:hAnsi="宋体"/>
                <w:sz w:val="21"/>
                <w:szCs w:val="21"/>
                <w:lang w:val="en-US" w:eastAsia="zh-CN"/>
              </w:rPr>
              <w:t>该公司员工20人，管理人员6人，销售人员5人，都具备相应的资质和能力，人力资源满足要求。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FF0000"/>
                <w:sz w:val="21"/>
                <w:szCs w:val="21"/>
              </w:rPr>
            </w:pPr>
            <w:r>
              <w:rPr>
                <w:rFonts w:hint="eastAsia" w:ascii="宋体" w:hAnsi="宋体" w:eastAsia="宋体" w:cs="Times New Roman"/>
                <w:b/>
                <w:sz w:val="21"/>
                <w:szCs w:val="21"/>
              </w:rPr>
              <w:t>设备设施（包括信息系统）、</w:t>
            </w:r>
            <w:r>
              <w:rPr>
                <w:rFonts w:hint="eastAsia" w:ascii="宋体" w:hAnsi="宋体"/>
                <w:sz w:val="21"/>
                <w:szCs w:val="21"/>
                <w:lang w:val="en-US" w:eastAsia="zh-CN"/>
              </w:rPr>
              <w:t>设备主要是销售服务设备及办公设备，如电脑、打印机、复印机、公用汽车等。</w:t>
            </w:r>
          </w:p>
          <w:p>
            <w:pPr>
              <w:spacing w:line="240" w:lineRule="exact"/>
              <w:rPr>
                <w:rFonts w:ascii="宋体" w:hAnsi="宋体"/>
                <w:b/>
                <w:color w:val="FF0000"/>
                <w:sz w:val="21"/>
                <w:szCs w:val="21"/>
              </w:rPr>
            </w:pPr>
          </w:p>
          <w:p>
            <w:pPr>
              <w:spacing w:line="240" w:lineRule="exact"/>
              <w:rPr>
                <w:rFonts w:ascii="宋体" w:hAnsi="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color w:val="FF0000"/>
                <w:sz w:val="21"/>
                <w:szCs w:val="21"/>
                <w:lang w:eastAsia="zh-CN"/>
              </w:rPr>
            </w:pPr>
            <w:r>
              <w:rPr>
                <w:rFonts w:hint="eastAsia" w:ascii="宋体" w:hAnsi="宋体" w:eastAsia="宋体" w:cs="Times New Roman"/>
                <w:b/>
                <w:sz w:val="21"/>
                <w:szCs w:val="21"/>
              </w:rPr>
              <w:t>过程运行环境</w:t>
            </w:r>
            <w:r>
              <w:rPr>
                <w:rFonts w:hint="eastAsia" w:ascii="宋体" w:hAnsi="宋体" w:eastAsia="宋体" w:cs="Times New Roman"/>
                <w:b/>
                <w:sz w:val="21"/>
                <w:szCs w:val="21"/>
                <w:lang w:eastAsia="zh-CN"/>
              </w:rPr>
              <w:t>：</w:t>
            </w:r>
            <w:r>
              <w:rPr>
                <w:rFonts w:hint="eastAsia" w:ascii="宋体" w:hAnsi="宋体"/>
                <w:b/>
                <w:sz w:val="21"/>
                <w:szCs w:val="21"/>
                <w:lang w:val="en-US" w:eastAsia="zh-CN"/>
              </w:rPr>
              <w:t xml:space="preserve"> </w:t>
            </w:r>
            <w:r>
              <w:rPr>
                <w:rFonts w:hint="eastAsia" w:ascii="宋体" w:hAnsi="宋体"/>
                <w:sz w:val="21"/>
                <w:szCs w:val="21"/>
                <w:lang w:val="en-US" w:eastAsia="zh-CN"/>
              </w:rPr>
              <w:t>运行环境无特殊要求，公司办公场所干净整洁、人际关系融洽，能满足要求。</w:t>
            </w:r>
          </w:p>
          <w:p>
            <w:pPr>
              <w:spacing w:line="240" w:lineRule="exact"/>
              <w:rPr>
                <w:rFonts w:ascii="宋体" w:hAnsi="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adjustRightInd w:val="0"/>
              <w:snapToGrid w:val="0"/>
              <w:spacing w:line="320" w:lineRule="exact"/>
              <w:ind w:right="120" w:rightChars="50"/>
              <w:textAlignment w:val="baseline"/>
              <w:rPr>
                <w:rFonts w:hint="default" w:ascii="Times New Roman" w:hAnsi="Times New Roman" w:eastAsia="宋体" w:cs="Times New Roman"/>
                <w:szCs w:val="22"/>
                <w:lang w:val="en-US"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Times New Roman" w:hAnsi="Times New Roman" w:eastAsia="宋体" w:cs="Times New Roman"/>
                <w:szCs w:val="22"/>
                <w:lang w:val="en-US" w:eastAsia="zh-CN"/>
              </w:rPr>
              <w:t>提供《运营部过程监视和测量方案》监视测量项目包括“公司培训计划、日常环境卫生检查等”；《环境安全目标指标》均已完成、日期2020.1.19.；</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现场审核：销售过程在办公区中进行、无废气、噪音等排放、生活污水按照要求排入下水道、办公垃圾及时运走、提供《固废的分类报告》包括“墨盒硒鼓的更换信息”；</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另提供《日常安全检查记录》检查项目“办公区的安全卫生、用电、火情”等、结论合格、检查人李颖；另摄像头、感烟感温报警器——处于正常状态；</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提供《消防器材一览表》办公室2件、有效期3年、日常有点检确认信息、符合规定；</w:t>
            </w:r>
          </w:p>
          <w:p>
            <w:pPr>
              <w:adjustRightInd w:val="0"/>
              <w:snapToGrid w:val="0"/>
              <w:spacing w:line="320" w:lineRule="exact"/>
              <w:ind w:right="120" w:rightChars="50"/>
              <w:textAlignment w:val="baseline"/>
              <w:rPr>
                <w:rFonts w:hint="eastAsia" w:ascii="宋体" w:hAnsi="宋体" w:eastAsia="宋体"/>
                <w:b/>
                <w:sz w:val="21"/>
                <w:szCs w:val="21"/>
                <w:lang w:eastAsia="zh-CN"/>
              </w:rPr>
            </w:pPr>
            <w:r>
              <w:rPr>
                <w:rFonts w:hint="eastAsia" w:ascii="Times New Roman" w:hAnsi="Times New Roman" w:eastAsia="宋体" w:cs="Times New Roman"/>
                <w:szCs w:val="22"/>
                <w:lang w:val="en-US" w:eastAsia="zh-CN"/>
              </w:rPr>
              <w:t>现场查无特种设备；2020年受到疫情影响、销售活动停滞、故未做体检；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adjustRightInd w:val="0"/>
              <w:snapToGrid w:val="0"/>
              <w:spacing w:line="320" w:lineRule="exact"/>
              <w:ind w:right="120" w:rightChars="50"/>
              <w:textAlignment w:val="baseline"/>
              <w:rPr>
                <w:rFonts w:hint="eastAsia" w:ascii="宋体" w:hAnsi="宋体" w:eastAsia="宋体" w:cs="Times New Roman"/>
                <w:b w:val="0"/>
                <w:bCs/>
                <w:sz w:val="21"/>
                <w:szCs w:val="21"/>
                <w:lang w:val="en-US" w:eastAsia="zh-CN"/>
              </w:rPr>
            </w:pPr>
            <w:r>
              <w:rPr>
                <w:rFonts w:hint="eastAsia" w:ascii="宋体" w:hAnsi="宋体" w:eastAsia="宋体" w:cs="Times New Roman"/>
                <w:b/>
                <w:sz w:val="21"/>
                <w:szCs w:val="21"/>
              </w:rPr>
              <w:t>知识</w:t>
            </w:r>
            <w:r>
              <w:rPr>
                <w:rFonts w:hint="eastAsia" w:ascii="宋体" w:hAnsi="宋体" w:eastAsia="宋体" w:cs="Times New Roman"/>
                <w:b/>
                <w:sz w:val="21"/>
                <w:szCs w:val="21"/>
                <w:lang w:eastAsia="zh-CN"/>
              </w:rPr>
              <w:t>：</w:t>
            </w:r>
            <w:r>
              <w:rPr>
                <w:rFonts w:hint="eastAsia" w:ascii="宋体" w:hAnsi="宋体" w:eastAsia="宋体" w:cs="Times New Roman"/>
                <w:b w:val="0"/>
                <w:bCs/>
                <w:sz w:val="21"/>
                <w:szCs w:val="21"/>
                <w:lang w:val="en-US" w:eastAsia="zh-CN"/>
              </w:rPr>
              <w:t>公司确定运行过程所需的知识，内部来源包括公司运作准则（管理制度、工作记录等）、电暖器（碳纤维、碳晶）、碳纤维发热电缆、碳纤维发热线产品专业技术应用、销售过程管理等。外部来源包括外来资料、法律法规、市场信息等。</w:t>
            </w:r>
          </w:p>
          <w:p>
            <w:pPr>
              <w:adjustRightInd w:val="0"/>
              <w:snapToGrid w:val="0"/>
              <w:spacing w:line="320" w:lineRule="exact"/>
              <w:ind w:right="120" w:rightChars="50"/>
              <w:textAlignment w:val="baseline"/>
              <w:rPr>
                <w:rFonts w:hint="eastAsia" w:ascii="宋体" w:hAnsi="宋体" w:eastAsia="宋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default" w:ascii="宋体" w:hAnsi="宋体" w:eastAsia="宋体"/>
                <w:b/>
                <w:sz w:val="21"/>
                <w:szCs w:val="21"/>
                <w:lang w:val="en-US" w:eastAsia="zh-CN"/>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lang w:val="en-US" w:eastAsia="zh-CN"/>
              </w:rPr>
              <w:t>。在管理评审中有对方针进行评审的内容，如：是否符合公司实际情况、是否在员工中进行宣贯，是否有被相关方索取的途径等。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rPr>
              <w:t>内部沟通的情况：内部沟通方式：</w:t>
            </w:r>
            <w:r>
              <w:rPr>
                <w:rFonts w:hint="eastAsia" w:ascii="宋体" w:hAnsi="宋体"/>
                <w:b w:val="0"/>
                <w:bCs/>
                <w:sz w:val="21"/>
                <w:szCs w:val="21"/>
                <w:lang w:val="en-US" w:eastAsia="zh-CN"/>
              </w:rPr>
              <w:t>面谈、微信、板报。</w:t>
            </w:r>
          </w:p>
          <w:p>
            <w:pPr>
              <w:spacing w:line="240" w:lineRule="exact"/>
              <w:rPr>
                <w:rFonts w:hint="eastAsia" w:ascii="宋体" w:hAnsi="宋体" w:eastAsia="宋体"/>
                <w:b/>
                <w:sz w:val="21"/>
                <w:szCs w:val="21"/>
                <w:lang w:val="en-US" w:eastAsia="zh-CN"/>
              </w:rPr>
            </w:pPr>
            <w:r>
              <w:rPr>
                <w:rFonts w:hint="eastAsia" w:ascii="宋体" w:hAnsi="宋体"/>
                <w:b/>
                <w:sz w:val="21"/>
                <w:szCs w:val="21"/>
              </w:rPr>
              <w:t>内部沟通的效果：</w:t>
            </w:r>
            <w:r>
              <w:rPr>
                <w:rFonts w:hint="eastAsia" w:ascii="宋体" w:hAnsi="宋体" w:eastAsia="宋体" w:cs="Times New Roman"/>
                <w:b w:val="0"/>
                <w:bCs/>
                <w:sz w:val="21"/>
                <w:szCs w:val="21"/>
                <w:lang w:val="en-US" w:eastAsia="zh-CN"/>
              </w:rPr>
              <w:t>良好</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eastAsia="宋体" w:cs="Times New Roman"/>
                <w:b w:val="0"/>
                <w:bCs/>
                <w:sz w:val="21"/>
                <w:szCs w:val="21"/>
                <w:lang w:val="en-US" w:eastAsia="zh-CN"/>
              </w:rPr>
              <w:t>信函、报告。</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eastAsia="宋体" w:cs="Times New Roman"/>
                <w:b w:val="0"/>
                <w:bCs/>
                <w:sz w:val="21"/>
                <w:szCs w:val="21"/>
                <w:lang w:val="en-US" w:eastAsia="zh-CN"/>
              </w:rPr>
              <w:t>良好。</w:t>
            </w:r>
          </w:p>
          <w:p>
            <w:pPr>
              <w:spacing w:line="240" w:lineRule="exact"/>
              <w:rPr>
                <w:rFonts w:ascii="宋体" w:hAnsi="宋体"/>
                <w:b/>
                <w:sz w:val="21"/>
                <w:szCs w:val="21"/>
              </w:rPr>
            </w:pPr>
          </w:p>
          <w:p>
            <w:pPr>
              <w:spacing w:line="240" w:lineRule="exact"/>
              <w:rPr>
                <w:rFonts w:hint="default" w:ascii="宋体" w:hAnsi="宋体" w:eastAsia="宋体"/>
                <w:b w:val="0"/>
                <w:bCs/>
                <w:sz w:val="21"/>
                <w:szCs w:val="21"/>
                <w:lang w:val="en-US" w:eastAsia="zh-CN"/>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b w:val="0"/>
                <w:bCs/>
                <w:sz w:val="21"/>
                <w:szCs w:val="21"/>
                <w:lang w:val="en-US" w:eastAsia="zh-CN"/>
              </w:rPr>
              <w:t>主要是对政府环保部门，主要应用信函方式，交流情况良好。</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eastAsia="宋体" w:cs="Arial"/>
                <w:color w:val="auto"/>
                <w:spacing w:val="-6"/>
                <w:sz w:val="21"/>
                <w:szCs w:val="21"/>
                <w:lang w:val="en-US" w:eastAsia="zh-CN"/>
              </w:rPr>
              <w:t>组织已经为参与和协商提供所需的机制、时间、培训和资源包括——设立了员工代表、员工协商小组、提供时间、培训、人力物力财力等方面的内容。及时提供获取清晰的，易于理解的有关职业健康安全管理体系相关的信息的渠道——设立意见建议箱、提供公司内部邮件处理系统并及时反馈；另经询问得知：不存在包括对工作人员的意见或建议未作出响应,语言或文字障碍、报复或者报复性的威胁、以及防碍或不利于员工参与的制度或实践的障碍和屏障，现场也未发现类似情况的发生。</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宋体" w:hAnsi="宋体" w:eastAsia="宋体" w:cs="Arial"/>
                <w:color w:val="auto"/>
                <w:spacing w:val="-6"/>
                <w:sz w:val="21"/>
                <w:szCs w:val="21"/>
                <w:lang w:val="en-US" w:eastAsia="zh-CN"/>
              </w:rPr>
              <w:t>主要用“告相关方知情书”方式进行，协商情况良好。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编制了《环境因素识别与评价表》环境因素“23”项、具体“水电纸张消耗、废旧墨盒硒鼓废弃、潜在火灾等——有相应的控制措施、及涉及人员和相关方信息、未见明显遗漏；</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确定的环境影响“3”项、具体为大气污染、土壤污染和原材料及能源消耗等 ；</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有三种时态和状态的说明；</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对环境影响评价方法为（打分法 ）；</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了《重要环境因素清单》“2”项、主要为“火灾危废（墨盒硒鼓）”，有控制方法的相关内容，查环境因素识别基本符合实际情况，未见明显遗漏、评价基本准确；对应了风险和机遇中重要环境因素的相关信息、未见明显遗漏，符合规定；</w:t>
            </w:r>
          </w:p>
          <w:p>
            <w:pPr>
              <w:spacing w:line="240" w:lineRule="exact"/>
              <w:rPr>
                <w:rFonts w:hint="default" w:ascii="宋体" w:hAnsi="宋体" w:eastAsia="宋体"/>
                <w:b/>
                <w:sz w:val="21"/>
                <w:szCs w:val="21"/>
                <w:lang w:val="en-US" w:eastAsia="zh-CN"/>
              </w:rPr>
            </w:pPr>
            <w:r>
              <w:rPr>
                <w:rFonts w:hint="eastAsia" w:ascii="宋体" w:hAnsi="宋体" w:eastAsia="宋体" w:cs="Arial"/>
                <w:color w:val="auto"/>
                <w:spacing w:val="-6"/>
                <w:sz w:val="21"/>
                <w:szCs w:val="21"/>
                <w:lang w:val="en-US" w:eastAsia="zh-CN"/>
              </w:rPr>
              <w:t>环境因素控制情况良好，对相关方施加影响有效。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eastAsia="zh-CN"/>
              </w:rPr>
              <w:t>：</w:t>
            </w:r>
            <w:r>
              <w:rPr>
                <w:rFonts w:hint="eastAsia" w:ascii="宋体" w:hAnsi="宋体" w:eastAsia="宋体" w:cs="Arial"/>
                <w:color w:val="auto"/>
                <w:spacing w:val="-6"/>
                <w:sz w:val="21"/>
                <w:szCs w:val="21"/>
                <w:lang w:val="en-US" w:eastAsia="zh-CN"/>
              </w:rPr>
              <w:t>编制了《危险源辨识、风险评价和控制策划表》</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识别的危险源“13”项、包括“电气漏电、火灾、电脑操作人员久坐、饮水机操作”等——查基本没有遗漏；</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对上述识别的危险源确定了相应的危害内容（火灾、触电等）；</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采用LECD评价法、风险等级为中度“12”项、不接受的风险“1”项；</w:t>
            </w:r>
          </w:p>
          <w:p>
            <w:pPr>
              <w:adjustRightInd w:val="0"/>
              <w:snapToGrid w:val="0"/>
              <w:spacing w:line="320" w:lineRule="exact"/>
              <w:ind w:right="120"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评价出的重大危险源“1”项、具体为“火灾”、查评价基本准确；</w:t>
            </w:r>
          </w:p>
          <w:p>
            <w:pPr>
              <w:spacing w:line="240" w:lineRule="exact"/>
              <w:rPr>
                <w:rFonts w:hint="default" w:ascii="宋体" w:hAnsi="宋体" w:eastAsia="宋体"/>
                <w:b/>
                <w:sz w:val="21"/>
                <w:szCs w:val="21"/>
                <w:lang w:val="en-US" w:eastAsia="zh-CN"/>
              </w:rPr>
            </w:pPr>
            <w:r>
              <w:rPr>
                <w:rFonts w:hint="eastAsia" w:ascii="宋体" w:hAnsi="宋体" w:eastAsia="宋体" w:cs="Arial"/>
                <w:color w:val="auto"/>
                <w:spacing w:val="-6"/>
                <w:sz w:val="21"/>
                <w:szCs w:val="21"/>
                <w:lang w:val="en-US" w:eastAsia="zh-CN"/>
              </w:rPr>
              <w:t>控制措施包括“个人防护、培训教育、检查消除”等；不可接受风险控制有效。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rPr>
                <w:rFonts w:hint="eastAsia" w:ascii="Times New Roman" w:hAnsi="Times New Roman" w:eastAsia="宋体" w:cs="Times New Roman"/>
                <w:szCs w:val="22"/>
                <w:lang w:val="en-US" w:eastAsia="zh-CN"/>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w:t>
            </w:r>
            <w:r>
              <w:rPr>
                <w:rFonts w:hint="eastAsia" w:ascii="宋体" w:hAnsi="宋体"/>
                <w:b/>
                <w:sz w:val="21"/>
                <w:szCs w:val="21"/>
                <w:lang w:eastAsia="zh-CN"/>
              </w:rPr>
              <w:t>：</w:t>
            </w:r>
            <w:r>
              <w:rPr>
                <w:rFonts w:hint="eastAsia" w:ascii="Times New Roman" w:hAnsi="Times New Roman" w:eastAsia="宋体" w:cs="Times New Roman"/>
                <w:szCs w:val="22"/>
                <w:lang w:val="en-US" w:eastAsia="zh-CN"/>
              </w:rPr>
              <w:t>编制了《综合应急预案》——紧急情况主要“火灾、机械伤害、触电、中暑”等；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编制依据“消防法”等、内容包括“应急领导小组成员、联系方式、应急程序处置措施”等信息；</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应急演练的培训情况；</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查定期演练记录（火灾）、日期2020.5.25.《签到表》包括等参加人签字信息、查基本真实可信；</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参与了预案评审；与全体员工就他们的责任和职责进行沟通并提供相关的信息；</w:t>
            </w:r>
          </w:p>
          <w:p>
            <w:pPr>
              <w:spacing w:line="240" w:lineRule="exact"/>
              <w:ind w:left="211" w:hanging="240" w:hangingChars="100"/>
              <w:rPr>
                <w:rFonts w:ascii="宋体" w:hAnsi="宋体"/>
                <w:b/>
                <w:sz w:val="21"/>
                <w:szCs w:val="21"/>
              </w:rPr>
            </w:pPr>
            <w:r>
              <w:rPr>
                <w:rFonts w:hint="eastAsia" w:ascii="Times New Roman" w:hAnsi="Times New Roman" w:eastAsia="宋体" w:cs="Times New Roman"/>
                <w:szCs w:val="22"/>
                <w:lang w:val="en-US" w:eastAsia="zh-CN"/>
              </w:rPr>
              <w:t>查近一年来未发生过紧急情况和事故；</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eastAsia="zh-CN"/>
              </w:rPr>
              <w:t>：</w:t>
            </w:r>
            <w:r>
              <w:rPr>
                <w:rFonts w:hint="eastAsia" w:ascii="Times New Roman" w:hAnsi="Times New Roman" w:eastAsia="宋体" w:cs="Times New Roman"/>
                <w:szCs w:val="22"/>
                <w:lang w:val="en-US" w:eastAsia="zh-CN"/>
              </w:rPr>
              <w:t>无特种设备。</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Times New Roman" w:hAnsi="Times New Roman" w:eastAsia="宋体"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查2019年公司总目标完成情况基本达标；</w:t>
            </w:r>
          </w:p>
          <w:p>
            <w:pPr>
              <w:spacing w:line="240" w:lineRule="exact"/>
              <w:rPr>
                <w:rFonts w:hint="default" w:ascii="宋体" w:hAnsi="宋体"/>
                <w:b/>
                <w:sz w:val="21"/>
                <w:szCs w:val="21"/>
                <w:lang w:val="en-US"/>
              </w:rPr>
            </w:pPr>
            <w:r>
              <w:rPr>
                <w:rFonts w:hint="eastAsia" w:ascii="Times New Roman" w:hAnsi="Times New Roman" w:eastAsia="宋体" w:cs="Times New Roman"/>
                <w:szCs w:val="22"/>
                <w:lang w:val="en-US" w:eastAsia="zh-CN"/>
              </w:rPr>
              <w:t>另提供《环境\职业健康安全目标分解考核表(2020年1-2020年9月)》考核时间2020.10.9、显示分解的目标指标均已完成、公司总目标已经达成、符合规定；环境/职业健康安全目标指标能够定期进行检测。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编制了《内部审核计划》</w:t>
            </w:r>
            <w:r>
              <w:rPr>
                <w:rFonts w:hint="eastAsia" w:cs="Times New Roman"/>
                <w:szCs w:val="22"/>
                <w:lang w:val="en-US" w:eastAsia="zh-CN"/>
              </w:rPr>
              <w:t>实际</w:t>
            </w:r>
            <w:r>
              <w:rPr>
                <w:rFonts w:hint="eastAsia" w:ascii="Times New Roman" w:hAnsi="Times New Roman" w:eastAsia="宋体" w:cs="Times New Roman"/>
                <w:szCs w:val="22"/>
                <w:lang w:val="en-US" w:eastAsia="zh-CN"/>
              </w:rPr>
              <w:t>审核时间“2019.12.30-31.”、范围覆盖体系内的所有部门，内审员人“2”名、组长“李和强”、 抽查内审员“李颖”培训或资质有效；审核提出了不符合1项、观察项“0”项； 《不合格报告》 包括不合格事实描述“办公室文件物发放记录”、严重程度“一般”、查纠正措施及管代批准签字日期“2020.1.3.”、跟踪验证结论“有效”；</w:t>
            </w:r>
          </w:p>
          <w:p>
            <w:pPr>
              <w:adjustRightInd w:val="0"/>
              <w:snapToGrid w:val="0"/>
              <w:spacing w:line="320" w:lineRule="exact"/>
              <w:ind w:right="120" w:rightChars="50"/>
              <w:textAlignment w:val="baseline"/>
              <w:rPr>
                <w:rFonts w:ascii="宋体" w:hAnsi="宋体"/>
                <w:b/>
                <w:sz w:val="21"/>
                <w:szCs w:val="21"/>
              </w:rPr>
            </w:pPr>
            <w:r>
              <w:rPr>
                <w:rFonts w:hint="eastAsia" w:ascii="Times New Roman" w:hAnsi="Times New Roman" w:eastAsia="宋体" w:cs="Times New Roman"/>
                <w:szCs w:val="22"/>
                <w:lang w:val="en-US" w:eastAsia="zh-CN"/>
              </w:rPr>
              <w:t>检查《审核报告》其中基本概况包括审核时间、审核计划、组织、审核文件的准备、实施等内容，内审报告结论“体系运行基本有效”；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提供《管理评审计划》内容包括评审目的、评审依据、评审内容等、计划管评日期“2020.1.20”、参加人包括体系覆盖的所有部门的负责人、管评主持人“李阳”、计划编制和日期“2020.1.6.”；</w:t>
            </w:r>
          </w:p>
          <w:p>
            <w:pPr>
              <w:adjustRightInd w:val="0"/>
              <w:snapToGrid w:val="0"/>
              <w:spacing w:line="320" w:lineRule="exact"/>
              <w:ind w:right="120" w:rightChars="50"/>
              <w:textAlignment w:val="baseline"/>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提供《管理评审会议记录》内容包括参加人、主持人、主题等信息，其中记录内容包括管带及其他部门经理发言内容、总经理总结等过程；</w:t>
            </w:r>
          </w:p>
          <w:p>
            <w:pPr>
              <w:spacing w:line="240" w:lineRule="exact"/>
              <w:rPr>
                <w:rFonts w:ascii="宋体" w:hAnsi="宋体"/>
                <w:b/>
                <w:sz w:val="21"/>
                <w:szCs w:val="21"/>
              </w:rPr>
            </w:pPr>
            <w:r>
              <w:rPr>
                <w:rFonts w:hint="eastAsia" w:ascii="Times New Roman" w:hAnsi="Times New Roman" w:eastAsia="宋体" w:cs="Times New Roman"/>
                <w:szCs w:val="22"/>
                <w:lang w:val="en-US" w:eastAsia="zh-CN"/>
              </w:rPr>
              <w:t>管理评审制定了1项改进措施：</w:t>
            </w:r>
            <w:r>
              <w:rPr>
                <w:rFonts w:hint="eastAsia"/>
                <w:lang w:val="en-US" w:eastAsia="zh-CN"/>
              </w:rPr>
              <w:t>对公司质量环境方针目标进行了认真的评价、全面总结了公司的环境/职业健康安全的运行情况。改进措施正在实施中。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val="0"/>
                <w:bCs/>
                <w:sz w:val="21"/>
                <w:szCs w:val="21"/>
                <w:lang w:val="en-US" w:eastAsia="zh-CN"/>
              </w:rPr>
              <w:t>公司不存在污水、废气、噪声、废渣等。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eastAsia="宋体" w:cs="Times New Roman"/>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hint="eastAsia" w:ascii="宋体" w:hAnsi="宋体" w:eastAsia="宋体"/>
                <w:b/>
                <w:sz w:val="21"/>
                <w:szCs w:val="21"/>
                <w:lang w:val="en-US" w:eastAsia="zh-CN"/>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r>
              <w:rPr>
                <w:rFonts w:hint="eastAsia" w:ascii="宋体" w:hAnsi="宋体" w:eastAsia="宋体" w:cs="Times New Roman"/>
                <w:b/>
                <w:sz w:val="21"/>
                <w:szCs w:val="21"/>
                <w:lang w:val="en-US" w:eastAsia="zh-CN"/>
              </w:rPr>
              <w:t>无</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ascii="宋体" w:hAnsi="宋体"/>
                <w:b w:val="0"/>
                <w:bCs/>
                <w:sz w:val="21"/>
                <w:szCs w:val="21"/>
                <w:lang w:val="en-US" w:eastAsia="zh-CN"/>
              </w:rPr>
              <w:t>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上次不符合项：</w:t>
            </w:r>
            <w:r>
              <w:rPr>
                <w:rFonts w:hint="eastAsia" w:ascii="宋体" w:hAnsi="宋体"/>
                <w:b w:val="0"/>
                <w:bCs/>
                <w:sz w:val="21"/>
                <w:szCs w:val="21"/>
                <w:lang w:val="en-US" w:eastAsia="zh-CN"/>
              </w:rPr>
              <w:t>未能提供应急演练后对应急预案的可行性、适宜性、可操作性进行评审的证据。经检查，已经对应急演练的可行性、适宜性、可操作性进行评审，评审结果为基本有效，应继续提高。</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00" w:firstLineChars="100"/>
              <w:rPr>
                <w:rFonts w:ascii="宋体" w:hAnsi="宋体"/>
                <w:b/>
                <w:szCs w:val="21"/>
              </w:rPr>
            </w:pPr>
            <w:r>
              <w:rPr>
                <w:rFonts w:hint="eastAsia"/>
                <w:b w:val="0"/>
                <w:bCs/>
                <w:color w:val="000000" w:themeColor="text1"/>
                <w:sz w:val="20"/>
                <w:szCs w:val="20"/>
              </w:rPr>
              <w:t>该公司建立并实施的环境、职业健康安全管理体系基本符合标准要求，对可能存在的重要风险基本可以得到有效控制，</w:t>
            </w:r>
            <w:r>
              <w:rPr>
                <w:rFonts w:hint="eastAsia"/>
                <w:b w:val="0"/>
                <w:bCs/>
                <w:color w:val="000000" w:themeColor="text1"/>
                <w:sz w:val="20"/>
                <w:szCs w:val="20"/>
                <w:lang w:val="en-US" w:eastAsia="zh-CN"/>
              </w:rPr>
              <w:t>能够对环境因素和危险源进行控制</w:t>
            </w:r>
            <w:r>
              <w:rPr>
                <w:rFonts w:hint="eastAsia"/>
                <w:b w:val="0"/>
                <w:bCs/>
                <w:color w:val="000000" w:themeColor="text1"/>
                <w:sz w:val="20"/>
                <w:szCs w:val="20"/>
              </w:rPr>
              <w:t>，没有出现过环境和职业健康安全事故等事件，该公司初步建立了自我完善和自我改进机制，</w:t>
            </w:r>
            <w:r>
              <w:rPr>
                <w:rFonts w:hint="eastAsia"/>
                <w:b w:val="0"/>
                <w:bCs/>
                <w:color w:val="000000" w:themeColor="text1"/>
                <w:sz w:val="20"/>
                <w:szCs w:val="20"/>
                <w:lang w:val="en-US" w:eastAsia="zh-CN"/>
              </w:rPr>
              <w:t>EHS</w:t>
            </w:r>
            <w:r>
              <w:rPr>
                <w:rFonts w:hint="eastAsia"/>
                <w:b w:val="0"/>
                <w:bCs/>
                <w:color w:val="000000" w:themeColor="text1"/>
                <w:sz w:val="20"/>
                <w:szCs w:val="20"/>
              </w:rPr>
              <w:t>管理体系运行基本有效。现场开</w:t>
            </w:r>
            <w:r>
              <w:rPr>
                <w:rFonts w:hint="eastAsia" w:ascii="Times New Roman" w:hAnsi="Times New Roman" w:cs="Times New Roman"/>
                <w:b w:val="0"/>
                <w:bCs/>
                <w:color w:val="000000" w:themeColor="text1"/>
                <w:sz w:val="20"/>
                <w:szCs w:val="20"/>
              </w:rPr>
              <w:t>具的</w:t>
            </w:r>
            <w:r>
              <w:rPr>
                <w:rFonts w:hint="eastAsia" w:ascii="Times New Roman" w:hAnsi="Times New Roman" w:cs="Times New Roman"/>
                <w:b w:val="0"/>
                <w:bCs/>
                <w:color w:val="000000" w:themeColor="text1"/>
                <w:sz w:val="20"/>
                <w:szCs w:val="20"/>
                <w:lang w:val="en-US" w:eastAsia="zh-CN"/>
              </w:rPr>
              <w:t>0</w:t>
            </w:r>
            <w:r>
              <w:rPr>
                <w:rFonts w:hint="eastAsia" w:ascii="Times New Roman" w:hAnsi="Times New Roman" w:cs="Times New Roman"/>
                <w:b w:val="0"/>
                <w:bCs/>
                <w:color w:val="000000" w:themeColor="text1"/>
                <w:sz w:val="20"/>
                <w:szCs w:val="20"/>
              </w:rPr>
              <w:t>项一般不</w:t>
            </w:r>
            <w:r>
              <w:rPr>
                <w:rFonts w:hint="eastAsia"/>
                <w:b w:val="0"/>
                <w:bCs/>
                <w:color w:val="000000" w:themeColor="text1"/>
                <w:sz w:val="20"/>
                <w:szCs w:val="20"/>
              </w:rPr>
              <w:t>符合，同意推荐该公司环境、职业健康安全管理体系认证</w:t>
            </w:r>
            <w:r>
              <w:rPr>
                <w:rFonts w:hint="eastAsia"/>
                <w:b w:val="0"/>
                <w:bCs/>
                <w:color w:val="000000" w:themeColor="text1"/>
                <w:sz w:val="20"/>
                <w:szCs w:val="20"/>
                <w:lang w:val="en-US" w:eastAsia="zh-CN"/>
              </w:rPr>
              <w:t>继续</w:t>
            </w:r>
            <w:r>
              <w:rPr>
                <w:rFonts w:hint="eastAsia"/>
                <w:b w:val="0"/>
                <w:bCs/>
                <w:color w:val="000000" w:themeColor="text1"/>
                <w:sz w:val="20"/>
                <w:szCs w:val="20"/>
              </w:rPr>
              <w:t>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drawing>
          <wp:anchor distT="0" distB="0" distL="114300" distR="114300" simplePos="0" relativeHeight="251668480" behindDoc="1" locked="0" layoutInCell="1" allowOverlap="1">
            <wp:simplePos x="0" y="0"/>
            <wp:positionH relativeFrom="column">
              <wp:posOffset>1727200</wp:posOffset>
            </wp:positionH>
            <wp:positionV relativeFrom="paragraph">
              <wp:posOffset>126365</wp:posOffset>
            </wp:positionV>
            <wp:extent cx="497840" cy="504190"/>
            <wp:effectExtent l="0" t="0" r="10160" b="3810"/>
            <wp:wrapTight wrapText="bothSides">
              <wp:wrapPolygon>
                <wp:start x="0" y="0"/>
                <wp:lineTo x="0" y="21219"/>
                <wp:lineTo x="20939" y="21219"/>
                <wp:lineTo x="2093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default" w:eastAsia="宋体"/>
          <w:b/>
          <w:sz w:val="21"/>
          <w:lang w:val="en-US" w:eastAsia="zh-CN"/>
        </w:rPr>
      </w:pPr>
      <w:r>
        <w:rPr>
          <w:rFonts w:hint="default" w:eastAsia="宋体"/>
          <w:b/>
          <w:sz w:val="21"/>
          <w:lang w:val="en-US" w:eastAsia="zh-CN"/>
        </w:rPr>
        <w:drawing>
          <wp:anchor distT="0" distB="0" distL="114300" distR="114300" simplePos="0" relativeHeight="251680768" behindDoc="0" locked="0" layoutInCell="1" allowOverlap="1">
            <wp:simplePos x="0" y="0"/>
            <wp:positionH relativeFrom="column">
              <wp:posOffset>2138680</wp:posOffset>
            </wp:positionH>
            <wp:positionV relativeFrom="paragraph">
              <wp:posOffset>147955</wp:posOffset>
            </wp:positionV>
            <wp:extent cx="829310" cy="350520"/>
            <wp:effectExtent l="0" t="0" r="8890" b="5080"/>
            <wp:wrapSquare wrapText="bothSides"/>
            <wp:docPr id="3" name="图片 3" descr="64bbbb4fe4e246e26e4c9bfda51c5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bbbb4fe4e246e26e4c9bfda51c51e"/>
                    <pic:cNvPicPr>
                      <a:picLocks noChangeAspect="1"/>
                    </pic:cNvPicPr>
                  </pic:nvPicPr>
                  <pic:blipFill>
                    <a:blip r:embed="rId7">
                      <a:lum bright="36000"/>
                    </a:blip>
                    <a:stretch>
                      <a:fillRect/>
                    </a:stretch>
                  </pic:blipFill>
                  <pic:spPr>
                    <a:xfrm>
                      <a:off x="0" y="0"/>
                      <a:ext cx="829310" cy="350520"/>
                    </a:xfrm>
                    <a:prstGeom prst="rect">
                      <a:avLst/>
                    </a:prstGeom>
                  </pic:spPr>
                </pic:pic>
              </a:graphicData>
            </a:graphic>
          </wp:anchor>
        </w:drawing>
      </w:r>
      <w:r>
        <w:rPr>
          <w:rFonts w:hint="eastAsia"/>
          <w:b/>
          <w:sz w:val="21"/>
        </w:rPr>
        <w:t>审核组组员（签名）：</w:t>
      </w:r>
      <w:r>
        <w:rPr>
          <w:rFonts w:hint="eastAsia"/>
          <w:b/>
          <w:sz w:val="21"/>
          <w:lang w:val="en-US" w:eastAsia="zh-CN"/>
        </w:rPr>
        <w:t xml:space="preserve">       </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2020.10.18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rFonts w:hint="eastAsia"/>
          <w:b/>
          <w:sz w:val="21"/>
          <w:szCs w:val="21"/>
          <w:lang w:val="en-US" w:eastAsia="zh-CN"/>
        </w:rPr>
        <w:t>0</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rFonts w:hint="eastAsia" w:eastAsia="宋体"/>
          <w:b/>
          <w:sz w:val="21"/>
          <w:szCs w:val="21"/>
          <w:u w:val="single"/>
          <w:lang w:val="en-US" w:eastAsia="zh-CN"/>
        </w:rPr>
      </w:pPr>
      <w:r>
        <w:rPr>
          <w:rFonts w:hint="eastAsia"/>
          <w:b/>
          <w:sz w:val="21"/>
          <w:szCs w:val="21"/>
        </w:rPr>
        <w:t>存在问题说明及意见：</w:t>
      </w:r>
      <w:r>
        <w:rPr>
          <w:rFonts w:hint="eastAsia"/>
          <w:b/>
          <w:sz w:val="21"/>
          <w:szCs w:val="21"/>
          <w:lang w:val="en-US" w:eastAsia="zh-CN"/>
        </w:rPr>
        <w:t>无</w:t>
      </w:r>
    </w:p>
    <w:p>
      <w:pPr>
        <w:spacing w:line="400" w:lineRule="exact"/>
        <w:rPr>
          <w:b/>
          <w:sz w:val="21"/>
          <w:szCs w:val="21"/>
          <w:u w:val="single"/>
        </w:rPr>
      </w:pPr>
    </w:p>
    <w:p>
      <w:pPr>
        <w:spacing w:before="163" w:beforeLines="50"/>
        <w:ind w:firstLine="632" w:firstLineChars="300"/>
        <w:rPr>
          <w:b/>
          <w:sz w:val="21"/>
          <w:szCs w:val="21"/>
        </w:rPr>
      </w:pPr>
    </w:p>
    <w:p>
      <w:pPr>
        <w:spacing w:before="163" w:beforeLines="50"/>
        <w:rPr>
          <w:b/>
          <w:sz w:val="21"/>
          <w:szCs w:val="21"/>
        </w:rPr>
      </w:pPr>
      <w:bookmarkStart w:id="27" w:name="_GoBack"/>
      <w:bookmarkEnd w:id="27"/>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r>
        <w:drawing>
          <wp:anchor distT="0" distB="0" distL="114300" distR="114300" simplePos="0" relativeHeight="251679744" behindDoc="1" locked="0" layoutInCell="1" allowOverlap="1">
            <wp:simplePos x="0" y="0"/>
            <wp:positionH relativeFrom="column">
              <wp:posOffset>1260475</wp:posOffset>
            </wp:positionH>
            <wp:positionV relativeFrom="paragraph">
              <wp:posOffset>193675</wp:posOffset>
            </wp:positionV>
            <wp:extent cx="497840" cy="504190"/>
            <wp:effectExtent l="0" t="0" r="10160" b="3810"/>
            <wp:wrapTight wrapText="bothSides">
              <wp:wrapPolygon>
                <wp:start x="0" y="0"/>
                <wp:lineTo x="0" y="21219"/>
                <wp:lineTo x="20939" y="21219"/>
                <wp:lineTo x="2093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4266A4"/>
    <w:rsid w:val="20404E43"/>
    <w:rsid w:val="4BA322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iPriority w:val="99"/>
    <w:rPr>
      <w:sz w:val="18"/>
      <w:szCs w:val="18"/>
    </w:r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oc 1"/>
    <w:basedOn w:val="1"/>
    <w:next w:val="1"/>
    <w:qFormat/>
    <w:locked/>
    <w:uiPriority w:val="39"/>
    <w:pPr>
      <w:spacing w:before="120" w:after="120"/>
      <w:jc w:val="left"/>
    </w:pPr>
    <w:rPr>
      <w:rFonts w:ascii="Calibri" w:hAnsi="Calibri" w:cs="Calibri"/>
      <w:b/>
      <w:bCs/>
      <w:caps/>
      <w:sz w:val="20"/>
      <w:szCs w:val="20"/>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semiHidden/>
    <w:locked/>
    <w:uiPriority w:val="99"/>
    <w:rPr>
      <w:rFonts w:ascii="Times New Roman" w:hAnsi="Times New Roman" w:eastAsia="宋体" w:cs="Times New Roman"/>
      <w:sz w:val="18"/>
      <w:szCs w:val="18"/>
    </w:rPr>
  </w:style>
  <w:style w:type="character" w:customStyle="1" w:styleId="13">
    <w:name w:val="页眉 Char"/>
    <w:link w:val="5"/>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2020-10-18T01:06:49Z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