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98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7"/>
        <w:gridCol w:w="742"/>
        <w:gridCol w:w="7211"/>
        <w:gridCol w:w="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267"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742" w:type="dxa"/>
            <w:vMerge w:val="restart"/>
            <w:vAlign w:val="center"/>
          </w:tcPr>
          <w:p>
            <w:pPr>
              <w:rPr>
                <w:sz w:val="24"/>
                <w:szCs w:val="24"/>
              </w:rPr>
            </w:pPr>
            <w:r>
              <w:rPr>
                <w:rFonts w:hint="eastAsia"/>
                <w:sz w:val="24"/>
                <w:szCs w:val="24"/>
              </w:rPr>
              <w:t>涉及</w:t>
            </w:r>
          </w:p>
          <w:p>
            <w:r>
              <w:rPr>
                <w:rFonts w:hint="eastAsia"/>
                <w:sz w:val="24"/>
                <w:szCs w:val="24"/>
              </w:rPr>
              <w:t>条款</w:t>
            </w:r>
          </w:p>
        </w:tc>
        <w:tc>
          <w:tcPr>
            <w:tcW w:w="7211" w:type="dxa"/>
            <w:vAlign w:val="center"/>
          </w:tcPr>
          <w:p>
            <w:pPr>
              <w:rPr>
                <w:rFonts w:hint="eastAsia" w:ascii="Times New Roman" w:hAnsi="Times New Roman" w:eastAsia="宋体" w:cs="Times New Roman"/>
                <w:sz w:val="24"/>
                <w:szCs w:val="24"/>
                <w:lang w:val="en-US" w:eastAsia="zh-CN"/>
              </w:rPr>
            </w:pPr>
            <w:r>
              <w:rPr>
                <w:rFonts w:hint="eastAsia" w:ascii="Times New Roman" w:hAnsi="Times New Roman" w:cs="Times New Roman"/>
                <w:sz w:val="24"/>
                <w:szCs w:val="24"/>
              </w:rPr>
              <w:t>受审核部门：</w:t>
            </w:r>
            <w:r>
              <w:rPr>
                <w:rFonts w:hint="eastAsia" w:ascii="Times New Roman" w:hAnsi="Times New Roman" w:cs="Times New Roman"/>
                <w:sz w:val="24"/>
                <w:szCs w:val="24"/>
                <w:lang w:val="en-US" w:eastAsia="zh-CN"/>
              </w:rPr>
              <w:t>管理层</w:t>
            </w:r>
            <w:r>
              <w:rPr>
                <w:rFonts w:hint="eastAsia" w:ascii="Times New Roman" w:hAnsi="Times New Roman" w:cs="Times New Roman"/>
                <w:sz w:val="24"/>
                <w:szCs w:val="24"/>
              </w:rPr>
              <w:t xml:space="preserve">   主管领导：  </w:t>
            </w:r>
            <w:r>
              <w:rPr>
                <w:rFonts w:hint="eastAsia" w:ascii="Times New Roman" w:hAnsi="Times New Roman" w:cs="Times New Roman"/>
                <w:sz w:val="24"/>
                <w:szCs w:val="24"/>
                <w:lang w:val="en-US" w:eastAsia="zh-CN"/>
              </w:rPr>
              <w:t>李阳</w:t>
            </w:r>
            <w:r>
              <w:rPr>
                <w:rFonts w:hint="eastAsia" w:ascii="Times New Roman" w:hAnsi="Times New Roman" w:cs="Times New Roman"/>
                <w:sz w:val="24"/>
                <w:szCs w:val="24"/>
              </w:rPr>
              <w:t xml:space="preserve">  </w:t>
            </w:r>
            <w:r>
              <w:rPr>
                <w:rFonts w:hint="eastAsia" w:cs="Times New Roman"/>
                <w:sz w:val="24"/>
                <w:szCs w:val="24"/>
                <w:lang w:val="en-US" w:eastAsia="zh-CN"/>
              </w:rPr>
              <w:t xml:space="preserve">  </w:t>
            </w:r>
            <w:r>
              <w:rPr>
                <w:rFonts w:hint="eastAsia" w:ascii="Times New Roman" w:hAnsi="Times New Roman" w:cs="Times New Roman"/>
                <w:sz w:val="24"/>
                <w:szCs w:val="24"/>
              </w:rPr>
              <w:t>陪同人员：</w:t>
            </w:r>
            <w:r>
              <w:rPr>
                <w:rFonts w:hint="eastAsia" w:ascii="Times New Roman" w:hAnsi="Times New Roman" w:cs="Times New Roman"/>
                <w:sz w:val="24"/>
                <w:szCs w:val="24"/>
                <w:lang w:val="en-US" w:eastAsia="zh-CN"/>
              </w:rPr>
              <w:t>李颖</w:t>
            </w:r>
          </w:p>
        </w:tc>
        <w:tc>
          <w:tcPr>
            <w:tcW w:w="589"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267" w:type="dxa"/>
            <w:vMerge w:val="continue"/>
            <w:vAlign w:val="center"/>
          </w:tcPr>
          <w:p/>
        </w:tc>
        <w:tc>
          <w:tcPr>
            <w:tcW w:w="742" w:type="dxa"/>
            <w:vMerge w:val="continue"/>
            <w:vAlign w:val="center"/>
          </w:tcPr>
          <w:p/>
        </w:tc>
        <w:tc>
          <w:tcPr>
            <w:tcW w:w="7211" w:type="dxa"/>
            <w:vAlign w:val="center"/>
          </w:tcPr>
          <w:p>
            <w:pPr>
              <w:rPr>
                <w:rFonts w:hint="default" w:ascii="Times New Roman" w:hAnsi="Times New Roman" w:cs="Times New Roman"/>
                <w:sz w:val="24"/>
                <w:szCs w:val="24"/>
                <w:lang w:val="en-US" w:eastAsia="zh-CN"/>
              </w:rPr>
            </w:pPr>
            <w:r>
              <w:rPr>
                <w:rFonts w:hint="eastAsia" w:ascii="Times New Roman" w:hAnsi="Times New Roman" w:cs="Times New Roman"/>
                <w:sz w:val="24"/>
                <w:szCs w:val="24"/>
              </w:rPr>
              <w:t xml:space="preserve">审核员：   </w:t>
            </w:r>
            <w:r>
              <w:rPr>
                <w:rFonts w:hint="eastAsia" w:ascii="Times New Roman" w:hAnsi="Times New Roman" w:cs="Times New Roman"/>
                <w:sz w:val="24"/>
                <w:szCs w:val="24"/>
                <w:lang w:val="en-US" w:eastAsia="zh-CN"/>
              </w:rPr>
              <w:t>姜小清</w:t>
            </w:r>
            <w:r>
              <w:rPr>
                <w:rFonts w:hint="eastAsia" w:ascii="Times New Roman" w:hAnsi="Times New Roman" w:cs="Times New Roman"/>
                <w:sz w:val="24"/>
                <w:szCs w:val="24"/>
              </w:rPr>
              <w:t xml:space="preserve">          </w:t>
            </w:r>
            <w:r>
              <w:rPr>
                <w:rFonts w:hint="eastAsia" w:ascii="Times New Roman" w:hAnsi="Times New Roman" w:cs="Times New Roman"/>
                <w:sz w:val="24"/>
                <w:szCs w:val="24"/>
                <w:lang w:val="en-US" w:eastAsia="zh-CN"/>
              </w:rPr>
              <w:t xml:space="preserve"> </w:t>
            </w:r>
            <w:r>
              <w:rPr>
                <w:rFonts w:hint="eastAsia" w:ascii="Times New Roman" w:hAnsi="Times New Roman" w:cs="Times New Roman"/>
                <w:sz w:val="24"/>
                <w:szCs w:val="24"/>
              </w:rPr>
              <w:t xml:space="preserve">      审核时间：</w:t>
            </w:r>
            <w:r>
              <w:rPr>
                <w:rFonts w:hint="eastAsia" w:ascii="Times New Roman" w:hAnsi="Times New Roman" w:cs="Times New Roman"/>
                <w:sz w:val="24"/>
                <w:szCs w:val="24"/>
                <w:lang w:val="en-US" w:eastAsia="zh-CN"/>
              </w:rPr>
              <w:t>2020.10.17</w:t>
            </w:r>
          </w:p>
        </w:tc>
        <w:tc>
          <w:tcPr>
            <w:tcW w:w="589"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267" w:type="dxa"/>
            <w:vMerge w:val="continue"/>
            <w:vAlign w:val="center"/>
          </w:tcPr>
          <w:p/>
        </w:tc>
        <w:tc>
          <w:tcPr>
            <w:tcW w:w="742" w:type="dxa"/>
            <w:vMerge w:val="continue"/>
            <w:vAlign w:val="center"/>
          </w:tcPr>
          <w:p/>
        </w:tc>
        <w:tc>
          <w:tcPr>
            <w:tcW w:w="7211" w:type="dxa"/>
            <w:vAlign w:val="center"/>
          </w:tcPr>
          <w:p>
            <w:pPr>
              <w:snapToGrid w:val="0"/>
              <w:spacing w:line="280" w:lineRule="exact"/>
              <w:jc w:val="left"/>
              <w:rPr>
                <w:rFonts w:hint="eastAsia" w:ascii="Times New Roman" w:hAnsi="Times New Roman" w:eastAsia="宋体" w:cs="Times New Roman"/>
                <w:sz w:val="24"/>
                <w:szCs w:val="24"/>
              </w:rPr>
            </w:pPr>
            <w:r>
              <w:rPr>
                <w:rFonts w:hint="eastAsia"/>
                <w:sz w:val="24"/>
                <w:szCs w:val="24"/>
              </w:rPr>
              <w:t>审核条款：</w:t>
            </w:r>
            <w:r>
              <w:rPr>
                <w:rFonts w:hint="eastAsia" w:ascii="Times New Roman" w:hAnsi="Times New Roman" w:eastAsia="宋体" w:cs="Times New Roman"/>
                <w:sz w:val="24"/>
                <w:szCs w:val="24"/>
              </w:rPr>
              <w:t>企业相关资质</w:t>
            </w:r>
            <w:r>
              <w:rPr>
                <w:rFonts w:hint="eastAsia" w:ascii="Times New Roman" w:hAnsi="Times New Roman" w:eastAsia="宋体" w:cs="Times New Roman"/>
                <w:sz w:val="24"/>
                <w:szCs w:val="24"/>
                <w:lang w:val="en-US" w:eastAsia="zh-CN"/>
              </w:rPr>
              <w:t>变化</w:t>
            </w:r>
            <w:r>
              <w:rPr>
                <w:rFonts w:hint="eastAsia" w:ascii="Times New Roman" w:hAnsi="Times New Roman" w:eastAsia="宋体" w:cs="Times New Roman"/>
                <w:sz w:val="24"/>
                <w:szCs w:val="24"/>
              </w:rPr>
              <w:t>情况</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rPr>
              <w:t>顾客的投诉、质量监督抽查情况、获证后认证证书标志使用情况</w:t>
            </w:r>
            <w:r>
              <w:rPr>
                <w:rFonts w:hint="eastAsia" w:ascii="Times New Roman" w:hAnsi="Times New Roman" w:eastAsia="宋体" w:cs="Times New Roman"/>
                <w:sz w:val="24"/>
                <w:szCs w:val="24"/>
                <w:lang w:eastAsia="zh-CN"/>
              </w:rPr>
              <w:t>、相关变化情况、任何变更情况、上次</w:t>
            </w:r>
            <w:r>
              <w:rPr>
                <w:rFonts w:hint="eastAsia" w:ascii="Times New Roman" w:hAnsi="Times New Roman" w:eastAsia="宋体" w:cs="Times New Roman"/>
                <w:sz w:val="24"/>
                <w:szCs w:val="24"/>
              </w:rPr>
              <w:t>不符合的验证等</w:t>
            </w:r>
            <w:r>
              <w:rPr>
                <w:rFonts w:hint="eastAsia" w:ascii="Times New Roman" w:hAnsi="Times New Roman" w:eastAsia="宋体" w:cs="Times New Roman"/>
                <w:color w:val="FF0000"/>
                <w:sz w:val="24"/>
                <w:szCs w:val="24"/>
                <w:lang w:eastAsia="zh-CN"/>
              </w:rPr>
              <w:t>；</w:t>
            </w:r>
            <w:r>
              <w:rPr>
                <w:rFonts w:hint="eastAsia" w:ascii="Times New Roman" w:hAnsi="Times New Roman" w:eastAsia="宋体" w:cs="Times New Roman"/>
                <w:sz w:val="24"/>
                <w:szCs w:val="24"/>
              </w:rPr>
              <w:t>组织及其环境</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rPr>
              <w:t>相关方的需求和希望</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rPr>
              <w:t>管理体系的范围</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rPr>
              <w:t>管理体系及其过程</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rPr>
              <w:t>管理承诺总则</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rPr>
              <w:t>以顾客为关注焦点</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rPr>
              <w:t>方针</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目标</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rPr>
              <w:t>组织的岗位、职责权限</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rPr>
              <w:t>应对风险和机会的策划</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rPr>
              <w:t>变更的策划</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rPr>
              <w:t>管理评审</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rPr>
              <w:t>总则、持续改进</w:t>
            </w:r>
          </w:p>
          <w:p>
            <w:pPr>
              <w:snapToGrid w:val="0"/>
              <w:spacing w:line="280" w:lineRule="exact"/>
              <w:jc w:val="left"/>
              <w:rPr>
                <w:rFonts w:hint="eastAsia"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涉及条款：</w:t>
            </w:r>
          </w:p>
          <w:p>
            <w:pPr>
              <w:snapToGrid w:val="0"/>
              <w:spacing w:line="280" w:lineRule="exact"/>
              <w:jc w:val="left"/>
              <w:rPr>
                <w:sz w:val="24"/>
                <w:szCs w:val="24"/>
              </w:rPr>
            </w:pPr>
            <w:r>
              <w:rPr>
                <w:rFonts w:hint="eastAsia" w:ascii="Times New Roman" w:hAnsi="Times New Roman" w:eastAsia="宋体" w:cs="Times New Roman"/>
                <w:sz w:val="24"/>
                <w:szCs w:val="24"/>
              </w:rPr>
              <w:t>E</w:t>
            </w:r>
            <w:r>
              <w:rPr>
                <w:rFonts w:hint="eastAsia" w:ascii="Times New Roman" w:hAnsi="Times New Roman" w:eastAsia="宋体" w:cs="Times New Roman"/>
                <w:sz w:val="24"/>
                <w:szCs w:val="24"/>
                <w:lang w:val="en-US" w:eastAsia="zh-CN"/>
              </w:rPr>
              <w:t>O</w:t>
            </w:r>
            <w:r>
              <w:rPr>
                <w:rFonts w:hint="eastAsia" w:ascii="Times New Roman" w:hAnsi="Times New Roman" w:eastAsia="宋体" w:cs="Times New Roman"/>
                <w:sz w:val="24"/>
                <w:szCs w:val="24"/>
              </w:rPr>
              <w:t>4.1/4.2/4.3/4.4/5.1/5.2/5.3/6.1/6.2/9.1.1/9.3/10.1/10.3</w:t>
            </w:r>
            <w:r>
              <w:rPr>
                <w:rFonts w:hint="eastAsia" w:ascii="Times New Roman" w:hAnsi="Times New Roman" w:eastAsia="宋体" w:cs="Times New Roman"/>
                <w:sz w:val="24"/>
                <w:szCs w:val="24"/>
                <w:lang w:val="en-US" w:eastAsia="zh-CN"/>
              </w:rPr>
              <w:t xml:space="preserve">     O5.4</w:t>
            </w:r>
          </w:p>
        </w:tc>
        <w:tc>
          <w:tcPr>
            <w:tcW w:w="589"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267" w:type="dxa"/>
          </w:tcPr>
          <w:p>
            <w:pPr>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理解组织及其环境</w:t>
            </w:r>
          </w:p>
          <w:p/>
        </w:tc>
        <w:tc>
          <w:tcPr>
            <w:tcW w:w="742" w:type="dxa"/>
          </w:tcPr>
          <w:p>
            <w:pPr>
              <w:rPr>
                <w:rFonts w:hint="default" w:eastAsia="宋体"/>
                <w:lang w:val="en-US" w:eastAsia="zh-CN"/>
              </w:rPr>
            </w:pPr>
            <w:r>
              <w:rPr>
                <w:rFonts w:hint="eastAsia"/>
                <w:lang w:val="en-US" w:eastAsia="zh-CN"/>
              </w:rPr>
              <w:t>4.1</w:t>
            </w:r>
          </w:p>
        </w:tc>
        <w:tc>
          <w:tcPr>
            <w:tcW w:w="7211" w:type="dxa"/>
          </w:tcPr>
          <w:p>
            <w:pPr>
              <w:adjustRightInd w:val="0"/>
              <w:snapToGrid w:val="0"/>
              <w:spacing w:line="320" w:lineRule="exact"/>
              <w:ind w:right="105" w:rightChars="5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编制了《外部环境识别、评价表》包括内外部环境因素、日常监视、评价等内容其中；</w:t>
            </w:r>
          </w:p>
          <w:p>
            <w:pPr>
              <w:adjustRightInd w:val="0"/>
              <w:snapToGrid w:val="0"/>
              <w:spacing w:line="320" w:lineRule="exact"/>
              <w:ind w:right="105" w:rightChars="5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外部环境因素“12”条、包括“国内、廊坊市、区等适用的法律法规、技术.材料、设备、职业道德准则）、竞争力（市场占有率、服务领先者趋势、服务方式的变化）、市场（顾客增长趋势、市场稳定性）、社会（失业率、安全感、教育水平、工作时间等）和经济因素（国家经济走向、通货膨胀、信贷可得性）”等；</w:t>
            </w:r>
          </w:p>
          <w:p>
            <w:pPr>
              <w:adjustRightInd w:val="0"/>
              <w:snapToGrid w:val="0"/>
              <w:spacing w:line="320" w:lineRule="exact"/>
              <w:ind w:right="105" w:rightChars="5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内部环境因素“9”条、包括“本公司的价值观、文化、知识和体系绩效等相关因素。包括：资源因素、财务因素、人的因素、运营因素、决策过程及职责分配”等；</w:t>
            </w:r>
          </w:p>
          <w:p>
            <w:pPr>
              <w:adjustRightInd w:val="0"/>
              <w:snapToGrid w:val="0"/>
              <w:spacing w:line="320" w:lineRule="exact"/>
              <w:ind w:right="105" w:rightChars="5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——查上述内容组织宗旨战略方向基本相关、并对质量环境及安全管理体系实现策划能力可以产生一定影响；</w:t>
            </w:r>
          </w:p>
          <w:p>
            <w:pPr>
              <w:adjustRightInd w:val="0"/>
              <w:snapToGrid w:val="0"/>
              <w:spacing w:line="320" w:lineRule="exact"/>
              <w:ind w:right="105" w:rightChars="50"/>
              <w:textAlignment w:val="baseline"/>
            </w:pPr>
            <w:r>
              <w:rPr>
                <w:rFonts w:hint="eastAsia" w:ascii="宋体" w:hAnsi="宋体" w:eastAsia="宋体" w:cs="Arial"/>
                <w:color w:val="auto"/>
                <w:spacing w:val="-6"/>
                <w:sz w:val="21"/>
                <w:szCs w:val="21"/>
                <w:lang w:val="en-US" w:eastAsia="zh-CN"/>
              </w:rPr>
              <w:t>成文信息及时更新日期“2020.1.8.”、有编审批；</w:t>
            </w:r>
          </w:p>
        </w:tc>
        <w:tc>
          <w:tcPr>
            <w:tcW w:w="589"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1267" w:type="dxa"/>
          </w:tcPr>
          <w:p>
            <w:pPr>
              <w:adjustRightInd w:val="0"/>
              <w:snapToGrid w:val="0"/>
              <w:spacing w:line="320" w:lineRule="exact"/>
              <w:ind w:right="105" w:rightChars="5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理解相关方的需求和期望</w:t>
            </w:r>
          </w:p>
          <w:p>
            <w:pPr>
              <w:adjustRightInd w:val="0"/>
              <w:snapToGrid w:val="0"/>
              <w:spacing w:line="320" w:lineRule="exact"/>
              <w:ind w:right="105" w:rightChars="50"/>
              <w:textAlignment w:val="baseline"/>
              <w:rPr>
                <w:rFonts w:hint="eastAsia" w:ascii="宋体" w:hAnsi="宋体" w:eastAsia="宋体" w:cs="Arial"/>
                <w:color w:val="auto"/>
                <w:spacing w:val="-6"/>
                <w:sz w:val="21"/>
                <w:szCs w:val="21"/>
                <w:lang w:val="en-US" w:eastAsia="zh-CN"/>
              </w:rPr>
            </w:pPr>
          </w:p>
        </w:tc>
        <w:tc>
          <w:tcPr>
            <w:tcW w:w="742" w:type="dxa"/>
          </w:tcPr>
          <w:p>
            <w:pPr>
              <w:adjustRightInd w:val="0"/>
              <w:snapToGrid w:val="0"/>
              <w:spacing w:line="320" w:lineRule="exact"/>
              <w:ind w:right="105" w:rightChars="5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 xml:space="preserve">4.2 </w:t>
            </w:r>
          </w:p>
          <w:p>
            <w:pPr>
              <w:adjustRightInd w:val="0"/>
              <w:snapToGrid w:val="0"/>
              <w:spacing w:line="320" w:lineRule="exact"/>
              <w:ind w:right="105" w:rightChars="50"/>
              <w:textAlignment w:val="baseline"/>
              <w:rPr>
                <w:rFonts w:hint="eastAsia" w:ascii="宋体" w:hAnsi="宋体" w:eastAsia="宋体" w:cs="Arial"/>
                <w:color w:val="auto"/>
                <w:spacing w:val="-6"/>
                <w:sz w:val="21"/>
                <w:szCs w:val="21"/>
                <w:lang w:val="en-US" w:eastAsia="zh-CN"/>
              </w:rPr>
            </w:pPr>
          </w:p>
        </w:tc>
        <w:tc>
          <w:tcPr>
            <w:tcW w:w="7211" w:type="dxa"/>
          </w:tcPr>
          <w:p>
            <w:pPr>
              <w:adjustRightInd w:val="0"/>
              <w:snapToGrid w:val="0"/>
              <w:spacing w:line="320" w:lineRule="exact"/>
              <w:ind w:right="105" w:rightChars="5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编制了《相关方期望或要求识别表》包括相关方及其需要的内容、及监视和评审记录基本有效、参评人等信息；</w:t>
            </w:r>
          </w:p>
          <w:p>
            <w:pPr>
              <w:adjustRightInd w:val="0"/>
              <w:snapToGrid w:val="0"/>
              <w:spacing w:line="320" w:lineRule="exact"/>
              <w:ind w:right="105" w:rightChars="5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其中相关方共14条、具体“顾客/最终消费者、员工、政府、外部供方、竞争对手、相邻单位、员工稳定增长的收入和福利、职业成长、职业安全；社会/社区：积极投入公益与社区建设 环境保护、社会公益”等；</w:t>
            </w:r>
          </w:p>
          <w:p>
            <w:pPr>
              <w:adjustRightInd w:val="0"/>
              <w:snapToGrid w:val="0"/>
              <w:spacing w:line="320" w:lineRule="exact"/>
              <w:ind w:right="105" w:rightChars="5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查其需求包括“顾客的要求、例如符合性、价格、安全性”、“与顾客达成的商业合同”、“行业规范及标准”、“行业许可、营业执照、其他授权”、“条约、公约、草案”、“和公共机构及顾客的协议”等；</w:t>
            </w:r>
          </w:p>
          <w:p>
            <w:pPr>
              <w:adjustRightInd w:val="0"/>
              <w:snapToGrid w:val="0"/>
              <w:spacing w:line="320" w:lineRule="exact"/>
              <w:ind w:right="105" w:rightChars="5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查组织监视和评审这些相关方的信息及其相关要求基本有效。成文信息及时更新日期“2020.1.8、有编审批；</w:t>
            </w:r>
          </w:p>
        </w:tc>
        <w:tc>
          <w:tcPr>
            <w:tcW w:w="589" w:type="dxa"/>
          </w:tcPr>
          <w:p>
            <w:pPr>
              <w:adjustRightInd w:val="0"/>
              <w:snapToGrid w:val="0"/>
              <w:spacing w:line="320" w:lineRule="exact"/>
              <w:ind w:right="105" w:rightChars="50"/>
              <w:textAlignment w:val="baseline"/>
              <w:rPr>
                <w:rFonts w:hint="default" w:ascii="宋体" w:hAnsi="宋体" w:eastAsia="宋体" w:cs="Arial"/>
                <w:color w:val="auto"/>
                <w:spacing w:val="-6"/>
                <w:sz w:val="21"/>
                <w:szCs w:val="21"/>
                <w:lang w:val="en-US" w:eastAsia="zh-CN"/>
              </w:rPr>
            </w:pPr>
            <w:r>
              <w:rPr>
                <w:rFonts w:hint="eastAsia" w:ascii="宋体" w:hAnsi="宋体" w:cs="Arial"/>
                <w:color w:val="auto"/>
                <w:spacing w:val="-6"/>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1267" w:type="dxa"/>
          </w:tcPr>
          <w:p>
            <w:pPr>
              <w:adjustRightInd w:val="0"/>
              <w:snapToGrid w:val="0"/>
              <w:spacing w:line="320" w:lineRule="exact"/>
              <w:ind w:right="105" w:rightChars="5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确定环境管理体系的范围</w:t>
            </w:r>
          </w:p>
          <w:p>
            <w:pPr>
              <w:adjustRightInd w:val="0"/>
              <w:snapToGrid w:val="0"/>
              <w:spacing w:line="320" w:lineRule="exact"/>
              <w:ind w:right="105" w:rightChars="50"/>
              <w:textAlignment w:val="baseline"/>
              <w:rPr>
                <w:rFonts w:hint="eastAsia" w:ascii="宋体" w:hAnsi="宋体" w:eastAsia="宋体" w:cs="Arial"/>
                <w:color w:val="auto"/>
                <w:spacing w:val="-6"/>
                <w:sz w:val="21"/>
                <w:szCs w:val="21"/>
                <w:lang w:val="en-US" w:eastAsia="zh-CN"/>
              </w:rPr>
            </w:pPr>
          </w:p>
        </w:tc>
        <w:tc>
          <w:tcPr>
            <w:tcW w:w="742" w:type="dxa"/>
          </w:tcPr>
          <w:p>
            <w:pPr>
              <w:adjustRightInd w:val="0"/>
              <w:snapToGrid w:val="0"/>
              <w:spacing w:line="320" w:lineRule="exact"/>
              <w:ind w:right="105" w:rightChars="5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 xml:space="preserve">4.3 </w:t>
            </w:r>
          </w:p>
          <w:p>
            <w:pPr>
              <w:adjustRightInd w:val="0"/>
              <w:snapToGrid w:val="0"/>
              <w:spacing w:line="320" w:lineRule="exact"/>
              <w:ind w:right="105" w:rightChars="50"/>
              <w:textAlignment w:val="baseline"/>
              <w:rPr>
                <w:rFonts w:hint="eastAsia" w:ascii="宋体" w:hAnsi="宋体" w:eastAsia="宋体" w:cs="Arial"/>
                <w:color w:val="auto"/>
                <w:spacing w:val="-6"/>
                <w:sz w:val="21"/>
                <w:szCs w:val="21"/>
                <w:lang w:val="en-US" w:eastAsia="zh-CN"/>
              </w:rPr>
            </w:pPr>
          </w:p>
        </w:tc>
        <w:tc>
          <w:tcPr>
            <w:tcW w:w="7211" w:type="dxa"/>
          </w:tcPr>
          <w:p>
            <w:pPr>
              <w:adjustRightInd w:val="0"/>
              <w:snapToGrid w:val="0"/>
              <w:spacing w:line="320" w:lineRule="exact"/>
              <w:ind w:right="105" w:rightChars="5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查已经成文信息包括：</w:t>
            </w:r>
          </w:p>
          <w:p>
            <w:pPr>
              <w:adjustRightInd w:val="0"/>
              <w:snapToGrid w:val="0"/>
              <w:spacing w:line="320" w:lineRule="exact"/>
              <w:ind w:right="105" w:rightChars="5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 xml:space="preserve">1.“内、外部因素”及“相关方及其需求”；  </w:t>
            </w:r>
          </w:p>
          <w:p>
            <w:pPr>
              <w:adjustRightInd w:val="0"/>
              <w:snapToGrid w:val="0"/>
              <w:spacing w:line="320" w:lineRule="exact"/>
              <w:ind w:right="105" w:rightChars="5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2.产品服务活动：“3C认证范围内的电暖器（碳纤维、碳晶）、碳纤维发热电缆、碳纤维发热线的销售及相关环境管理活动 ”；</w:t>
            </w:r>
          </w:p>
          <w:p>
            <w:pPr>
              <w:adjustRightInd w:val="0"/>
              <w:snapToGrid w:val="0"/>
              <w:spacing w:line="320" w:lineRule="exact"/>
              <w:ind w:right="105" w:rightChars="5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3.无任何删减和不适用性的内容；</w:t>
            </w:r>
          </w:p>
          <w:p>
            <w:pPr>
              <w:adjustRightInd w:val="0"/>
              <w:snapToGrid w:val="0"/>
              <w:spacing w:line="320" w:lineRule="exact"/>
              <w:ind w:right="105" w:rightChars="5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4.其组织单元、职能和物理边界：活动的区域和场所包括办公室、生产部、质检部、供销部等；地址河北省廊坊市文安县新村工业区；</w:t>
            </w:r>
          </w:p>
          <w:p>
            <w:pPr>
              <w:adjustRightInd w:val="0"/>
              <w:snapToGrid w:val="0"/>
              <w:spacing w:line="320" w:lineRule="exact"/>
              <w:ind w:right="105" w:rightChars="5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4.查其实施控制与施加影响的权限和能力、理解相关方的需求和期望所提及的合规义务——已经确定、检查有效；基本上符合规定；</w:t>
            </w:r>
          </w:p>
        </w:tc>
        <w:tc>
          <w:tcPr>
            <w:tcW w:w="589" w:type="dxa"/>
          </w:tcPr>
          <w:p>
            <w:pPr>
              <w:adjustRightInd w:val="0"/>
              <w:snapToGrid w:val="0"/>
              <w:spacing w:line="320" w:lineRule="exact"/>
              <w:ind w:right="105" w:rightChars="50"/>
              <w:textAlignment w:val="baseline"/>
              <w:rPr>
                <w:rFonts w:hint="default" w:ascii="宋体" w:hAnsi="宋体" w:eastAsia="宋体" w:cs="Arial"/>
                <w:color w:val="auto"/>
                <w:spacing w:val="-6"/>
                <w:sz w:val="21"/>
                <w:szCs w:val="21"/>
                <w:lang w:val="en-US" w:eastAsia="zh-CN"/>
              </w:rPr>
            </w:pPr>
            <w:r>
              <w:rPr>
                <w:rFonts w:hint="eastAsia" w:ascii="宋体" w:hAnsi="宋体" w:cs="Arial"/>
                <w:color w:val="auto"/>
                <w:spacing w:val="-6"/>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267" w:type="dxa"/>
          </w:tcPr>
          <w:p>
            <w:pPr>
              <w:adjustRightInd w:val="0"/>
              <w:snapToGrid w:val="0"/>
              <w:spacing w:line="320" w:lineRule="exact"/>
              <w:ind w:right="105" w:rightChars="5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管理体系及其过程</w:t>
            </w:r>
          </w:p>
          <w:p>
            <w:pPr>
              <w:adjustRightInd w:val="0"/>
              <w:snapToGrid w:val="0"/>
              <w:spacing w:line="320" w:lineRule="exact"/>
              <w:ind w:right="105" w:rightChars="50"/>
              <w:textAlignment w:val="baseline"/>
              <w:rPr>
                <w:rFonts w:hint="eastAsia" w:ascii="宋体" w:hAnsi="宋体" w:eastAsia="宋体" w:cs="Arial"/>
                <w:color w:val="auto"/>
                <w:spacing w:val="-6"/>
                <w:sz w:val="21"/>
                <w:szCs w:val="21"/>
                <w:lang w:val="en-US" w:eastAsia="zh-CN"/>
              </w:rPr>
            </w:pPr>
          </w:p>
        </w:tc>
        <w:tc>
          <w:tcPr>
            <w:tcW w:w="742" w:type="dxa"/>
          </w:tcPr>
          <w:p>
            <w:pPr>
              <w:adjustRightInd w:val="0"/>
              <w:snapToGrid w:val="0"/>
              <w:spacing w:line="320" w:lineRule="exact"/>
              <w:ind w:right="105" w:rightChars="5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 xml:space="preserve">4.4 </w:t>
            </w:r>
          </w:p>
          <w:p>
            <w:pPr>
              <w:adjustRightInd w:val="0"/>
              <w:snapToGrid w:val="0"/>
              <w:spacing w:line="320" w:lineRule="exact"/>
              <w:ind w:right="105" w:rightChars="50"/>
              <w:textAlignment w:val="baseline"/>
              <w:rPr>
                <w:rFonts w:hint="eastAsia" w:ascii="宋体" w:hAnsi="宋体" w:eastAsia="宋体" w:cs="Arial"/>
                <w:color w:val="auto"/>
                <w:spacing w:val="-6"/>
                <w:sz w:val="21"/>
                <w:szCs w:val="21"/>
                <w:lang w:val="en-US" w:eastAsia="zh-CN"/>
              </w:rPr>
            </w:pPr>
          </w:p>
        </w:tc>
        <w:tc>
          <w:tcPr>
            <w:tcW w:w="7211" w:type="dxa"/>
          </w:tcPr>
          <w:p>
            <w:pPr>
              <w:adjustRightInd w:val="0"/>
              <w:snapToGrid w:val="0"/>
              <w:spacing w:line="320" w:lineRule="exact"/>
              <w:ind w:right="105" w:rightChars="5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通过文审检查手册及相关程序文件可知：</w:t>
            </w:r>
          </w:p>
          <w:p>
            <w:pPr>
              <w:adjustRightInd w:val="0"/>
              <w:snapToGrid w:val="0"/>
              <w:spacing w:line="320" w:lineRule="exact"/>
              <w:ind w:right="105" w:rightChars="5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基本确定体系的目标和实现这些目标所需的过程；明确了为管理过程确定职责、权限和义务；确定了组织的能力及预先确定资源约束条件；确定了过程相互依赖的关系，分析了个别过程的变更对整个体系的影响；基本做到了将过程及其相互关系作为一个体系进行管理，以有效和高效地实现组织的质量目标；另组织为确保获得必要的信息，以运行和改进过程并监视、分析和评价整个体系的绩效；明确了管理可能影响过程输出和质量管理体系整体结果的风险；这其中包括确定了质量管理体系范围、组织架构图、产品及服务、现场及产品线过程/能力相关的设备和人员清单、绩效指标的确定、风险及机遇的识别、职责和权限的公示、识别了变更对过程的影响、及体系应获取的资源、提供了内审和管理评审的实施情况等；策划输出 包括：手册、程序文件、表格和记录等；</w:t>
            </w:r>
          </w:p>
          <w:p>
            <w:pPr>
              <w:adjustRightInd w:val="0"/>
              <w:snapToGrid w:val="0"/>
              <w:spacing w:line="320" w:lineRule="exact"/>
              <w:ind w:right="105" w:rightChars="5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另查近一年来的体系的基本没有变更的情况；</w:t>
            </w:r>
          </w:p>
          <w:p>
            <w:pPr>
              <w:adjustRightInd w:val="0"/>
              <w:snapToGrid w:val="0"/>
              <w:spacing w:line="320" w:lineRule="exact"/>
              <w:ind w:right="105" w:rightChars="5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组织在建立并保持环境管理体系时，充分考虑了标准4.1和4.2获得的知识并已形成文件化信息。</w:t>
            </w:r>
          </w:p>
        </w:tc>
        <w:tc>
          <w:tcPr>
            <w:tcW w:w="589"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267" w:type="dxa"/>
            <w:vAlign w:val="top"/>
          </w:tcPr>
          <w:p>
            <w:pPr>
              <w:adjustRightInd w:val="0"/>
              <w:snapToGrid w:val="0"/>
              <w:spacing w:line="320" w:lineRule="exact"/>
              <w:ind w:right="105" w:rightChars="5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 xml:space="preserve">领导作用和承诺 </w:t>
            </w:r>
          </w:p>
          <w:p>
            <w:pPr>
              <w:adjustRightInd w:val="0"/>
              <w:snapToGrid w:val="0"/>
              <w:spacing w:line="320" w:lineRule="exact"/>
              <w:ind w:right="105" w:rightChars="5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总则</w:t>
            </w:r>
          </w:p>
          <w:p>
            <w:pPr>
              <w:adjustRightInd w:val="0"/>
              <w:snapToGrid w:val="0"/>
              <w:spacing w:line="320" w:lineRule="exact"/>
              <w:ind w:right="105" w:rightChars="50"/>
              <w:textAlignment w:val="baseline"/>
            </w:pPr>
          </w:p>
        </w:tc>
        <w:tc>
          <w:tcPr>
            <w:tcW w:w="742" w:type="dxa"/>
            <w:vAlign w:val="top"/>
          </w:tcPr>
          <w:p>
            <w:pPr>
              <w:adjustRightInd w:val="0"/>
              <w:snapToGrid w:val="0"/>
              <w:spacing w:line="320" w:lineRule="exact"/>
              <w:ind w:right="105" w:rightChars="5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 xml:space="preserve">5.1 </w:t>
            </w:r>
          </w:p>
          <w:p>
            <w:pPr>
              <w:adjustRightInd w:val="0"/>
              <w:snapToGrid w:val="0"/>
              <w:spacing w:line="320" w:lineRule="exact"/>
              <w:ind w:right="105" w:rightChars="50"/>
              <w:textAlignment w:val="baseline"/>
            </w:pPr>
          </w:p>
        </w:tc>
        <w:tc>
          <w:tcPr>
            <w:tcW w:w="7211" w:type="dxa"/>
            <w:vAlign w:val="top"/>
          </w:tcPr>
          <w:p>
            <w:pPr>
              <w:adjustRightInd w:val="0"/>
              <w:snapToGrid w:val="0"/>
              <w:spacing w:line="320" w:lineRule="exact"/>
              <w:ind w:right="105" w:rightChars="5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和管理层交流的内容：</w:t>
            </w:r>
          </w:p>
          <w:p>
            <w:pPr>
              <w:adjustRightInd w:val="0"/>
              <w:snapToGrid w:val="0"/>
              <w:spacing w:line="320" w:lineRule="exact"/>
              <w:ind w:right="105" w:rightChars="50"/>
              <w:textAlignment w:val="baseline"/>
            </w:pPr>
            <w:r>
              <w:rPr>
                <w:rFonts w:hint="eastAsia" w:ascii="宋体" w:hAnsi="宋体" w:eastAsia="宋体" w:cs="Arial"/>
                <w:color w:val="auto"/>
                <w:spacing w:val="-6"/>
                <w:sz w:val="21"/>
                <w:szCs w:val="21"/>
                <w:lang w:val="en-US" w:eastAsia="zh-CN"/>
              </w:rPr>
              <w:t xml:space="preserve">通过持续的绩效监视、月度、定期检查等，及管理评审来确定QMS的适宜性及有效性；确保制定质量管理体系的质量方针和质量目标，并与组织环境和战略方向相一致：建立质量方针目标时，确保了与组织的环境、内外部事宜、战略方向保持一致；可以确保质量管理体系和本组织的相关职能部门及过程的接口和融入、这包括设计开发、生产及仓储物流、原材料的采购、顾客满意度调查、过程的监视和测量等均按照标准要求制定了让相关的程序文件和作业指导书、提供了过程的监视和质量目标的监视、完成了内审和管评的过程等； 各部门均明确了各自的风险和机遇、相关方和其需求等信息，相关内容经过评审并提供日常的监视、发现问题及时调整； 组织明确了体系要求的在人力物力财力方面的需求，及那些受到约束的条件并形成文件信息予以保留；通过内部会议、邮件、讨论等形式获取有价值的沟通等；监视质量管理体系的输出、确保纠正措施落实到个人或团队； 促使、指导和支持员工努力提高质量管理体系的有效性；——使用有价值的证据就改进顾客抱怨、提升市场占有率、降低成本等内容沟通；内审、管评、第三方审核等提出的一家和建议在内部沟通；远程审核管理层的行为、态度和决定之间基本一致，日常的态度严谨认真、可以做到以身作则、及和部属的有效沟通；另查书面的承诺及质量管理体系的绩效结果等基本符合规定；另通过持续的绩效监视、月度、定期检查等，及管理评审来确定环境体系的适宜性及有效性；建立了环境方针目标，与组织的环境、内外部事宜、战略方向基本一致等；  </w:t>
            </w:r>
          </w:p>
        </w:tc>
        <w:tc>
          <w:tcPr>
            <w:tcW w:w="589" w:type="dxa"/>
            <w:vAlign w:val="top"/>
          </w:tcPr>
          <w:p>
            <w:pPr>
              <w:adjustRightInd w:val="0"/>
              <w:snapToGrid w:val="0"/>
              <w:spacing w:line="320" w:lineRule="exact"/>
              <w:ind w:right="105" w:rightChars="50"/>
              <w:textAlignment w:val="baseline"/>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trPr>
        <w:tc>
          <w:tcPr>
            <w:tcW w:w="1267" w:type="dxa"/>
            <w:vAlign w:val="top"/>
          </w:tcPr>
          <w:p>
            <w:pPr>
              <w:adjustRightInd w:val="0"/>
              <w:snapToGrid w:val="0"/>
              <w:spacing w:line="320" w:lineRule="exact"/>
              <w:ind w:right="105" w:rightChars="50"/>
              <w:textAlignment w:val="baseline"/>
            </w:pPr>
            <w:r>
              <w:rPr>
                <w:rFonts w:hint="eastAsia" w:ascii="宋体" w:hAnsi="宋体" w:eastAsia="宋体" w:cs="Arial"/>
                <w:color w:val="auto"/>
                <w:spacing w:val="-6"/>
                <w:sz w:val="21"/>
                <w:szCs w:val="21"/>
                <w:lang w:val="en-US" w:eastAsia="zh-CN"/>
              </w:rPr>
              <w:t xml:space="preserve">环境/职业健康安全方针 </w:t>
            </w:r>
          </w:p>
        </w:tc>
        <w:tc>
          <w:tcPr>
            <w:tcW w:w="742" w:type="dxa"/>
            <w:vAlign w:val="top"/>
          </w:tcPr>
          <w:p>
            <w:pPr>
              <w:adjustRightInd w:val="0"/>
              <w:snapToGrid w:val="0"/>
              <w:spacing w:line="320" w:lineRule="exact"/>
              <w:ind w:right="105" w:rightChars="5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5.2</w:t>
            </w:r>
          </w:p>
          <w:p>
            <w:pPr>
              <w:adjustRightInd w:val="0"/>
              <w:snapToGrid w:val="0"/>
              <w:spacing w:line="320" w:lineRule="exact"/>
              <w:ind w:right="105" w:rightChars="50"/>
              <w:textAlignment w:val="baseline"/>
            </w:pPr>
          </w:p>
        </w:tc>
        <w:tc>
          <w:tcPr>
            <w:tcW w:w="7211" w:type="dxa"/>
            <w:vAlign w:val="top"/>
          </w:tcPr>
          <w:p>
            <w:pPr>
              <w:adjustRightInd w:val="0"/>
              <w:snapToGrid w:val="0"/>
              <w:spacing w:line="320" w:lineRule="exact"/>
              <w:ind w:right="105" w:rightChars="5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提供了本组织的质量环境和职业健康安全方针具体为“节能减排降耗、减少环境污染、持续改善环境、遵守法规要求、安全第一、预防为主、遵纪守法、防治结合， 持续改进，追求卓越”，查其内容基本适应组织的宗旨和环境并支持其战略方向；为制定质量/环境/职业健康安全方针目标提供框架；包括满足适用要求的承诺；包括持续改进质量管理体系的承诺，内容基本符合标准要求。</w:t>
            </w:r>
          </w:p>
          <w:p>
            <w:pPr>
              <w:adjustRightInd w:val="0"/>
              <w:snapToGrid w:val="0"/>
              <w:spacing w:line="320" w:lineRule="exact"/>
              <w:ind w:right="105" w:rightChars="50"/>
              <w:textAlignment w:val="baseline"/>
            </w:pPr>
            <w:r>
              <w:rPr>
                <w:rFonts w:hint="eastAsia" w:ascii="宋体" w:hAnsi="宋体" w:eastAsia="宋体" w:cs="Arial"/>
                <w:color w:val="auto"/>
                <w:spacing w:val="-6"/>
                <w:sz w:val="21"/>
                <w:szCs w:val="21"/>
                <w:lang w:val="en-US" w:eastAsia="zh-CN"/>
              </w:rPr>
              <w:t>查环境/职业健康安全方针已经形成文件，并在组织内得到沟通、理解和应用；在适宜时，可向有关相关方提供；</w:t>
            </w:r>
          </w:p>
        </w:tc>
        <w:tc>
          <w:tcPr>
            <w:tcW w:w="589" w:type="dxa"/>
            <w:vAlign w:val="top"/>
          </w:tcPr>
          <w:p>
            <w:pPr>
              <w:adjustRightInd w:val="0"/>
              <w:snapToGrid w:val="0"/>
              <w:spacing w:line="320" w:lineRule="exact"/>
              <w:ind w:right="105" w:rightChars="50"/>
              <w:textAlignment w:val="baseline"/>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267" w:type="dxa"/>
            <w:vAlign w:val="top"/>
          </w:tcPr>
          <w:p>
            <w:pPr>
              <w:adjustRightInd w:val="0"/>
              <w:snapToGrid w:val="0"/>
              <w:spacing w:line="320" w:lineRule="exact"/>
              <w:ind w:right="105" w:rightChars="50"/>
              <w:textAlignment w:val="baseline"/>
            </w:pPr>
            <w:r>
              <w:rPr>
                <w:rFonts w:hint="eastAsia" w:ascii="宋体" w:hAnsi="宋体" w:eastAsia="宋体" w:cs="Arial"/>
                <w:color w:val="auto"/>
                <w:spacing w:val="-6"/>
                <w:sz w:val="21"/>
                <w:szCs w:val="21"/>
                <w:lang w:val="en-US" w:eastAsia="zh-CN"/>
              </w:rPr>
              <w:t>组织的岗位、职责和权限</w:t>
            </w:r>
          </w:p>
        </w:tc>
        <w:tc>
          <w:tcPr>
            <w:tcW w:w="742" w:type="dxa"/>
            <w:vAlign w:val="top"/>
          </w:tcPr>
          <w:p>
            <w:pPr>
              <w:adjustRightInd w:val="0"/>
              <w:snapToGrid w:val="0"/>
              <w:spacing w:line="320" w:lineRule="exact"/>
              <w:ind w:right="105" w:rightChars="5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 xml:space="preserve">5.3 </w:t>
            </w:r>
          </w:p>
          <w:p>
            <w:pPr>
              <w:adjustRightInd w:val="0"/>
              <w:snapToGrid w:val="0"/>
              <w:spacing w:line="320" w:lineRule="exact"/>
              <w:ind w:right="105" w:rightChars="5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 xml:space="preserve"> </w:t>
            </w:r>
          </w:p>
          <w:p>
            <w:pPr>
              <w:adjustRightInd w:val="0"/>
              <w:snapToGrid w:val="0"/>
              <w:spacing w:line="320" w:lineRule="exact"/>
              <w:ind w:right="105" w:rightChars="50"/>
              <w:textAlignment w:val="baseline"/>
            </w:pPr>
          </w:p>
        </w:tc>
        <w:tc>
          <w:tcPr>
            <w:tcW w:w="7211" w:type="dxa"/>
            <w:vAlign w:val="top"/>
          </w:tcPr>
          <w:p>
            <w:pPr>
              <w:adjustRightInd w:val="0"/>
              <w:snapToGrid w:val="0"/>
              <w:spacing w:line="320" w:lineRule="exact"/>
              <w:ind w:right="105" w:rightChars="5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管理层共3人包括总经理和副总、相关权限责任“主持制定公司的管理方针和目标，负责公司质量/环境/职业健康安全管理体系的设计确定，并批准公司的《管理手册》。主持质量/环境/职业健康安全职能分配，落实质量/环境/职业健康安全职责，对公司管理机构的合理设置负责。领导建立和完善质量/环境/职业健康安全管理体系，为方针的贯彻和质量/环境/职业健康安全管理体系的有效运行和持续改进提供必要而且充分的资源。主持召开管理评审会议，策划对质量/环境/职业健康安全管理体系进行复审和评价，并对发现的问题组织人员进行解决。坚持以顾客为关注焦点，不断满足顾客需求。把持续改进质量/环境/职业健康安全管理体系业绩作为企业发展的原动力。任命管理者代表，明确其职责和权限。组织开展质量成本及质量经济分析活动，协调好质量与成本的关系，开展质量成本管理，不断促进生产成本的降低。审定批准各项公司计划、预算等；</w:t>
            </w:r>
          </w:p>
          <w:p>
            <w:pPr>
              <w:adjustRightInd w:val="0"/>
              <w:snapToGrid w:val="0"/>
              <w:spacing w:line="320" w:lineRule="exact"/>
              <w:ind w:right="105" w:rightChars="5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E</w:t>
            </w:r>
            <w:r>
              <w:rPr>
                <w:rFonts w:hint="eastAsia" w:ascii="宋体" w:hAnsi="宋体" w:eastAsia="宋体" w:cs="Arial"/>
                <w:color w:val="auto"/>
                <w:spacing w:val="-6"/>
                <w:sz w:val="21"/>
                <w:szCs w:val="21"/>
                <w:u w:val="single"/>
                <w:lang w:val="en-US" w:eastAsia="zh-CN"/>
              </w:rPr>
              <w:t>/H职责和权</w:t>
            </w:r>
            <w:r>
              <w:rPr>
                <w:rFonts w:hint="eastAsia" w:ascii="宋体" w:hAnsi="宋体" w:eastAsia="宋体" w:cs="Arial"/>
                <w:color w:val="auto"/>
                <w:spacing w:val="-6"/>
                <w:sz w:val="21"/>
                <w:szCs w:val="21"/>
                <w:lang w:val="en-US" w:eastAsia="zh-CN"/>
              </w:rPr>
              <w:t>限：</w:t>
            </w:r>
          </w:p>
          <w:p>
            <w:pPr>
              <w:adjustRightInd w:val="0"/>
              <w:snapToGrid w:val="0"/>
              <w:spacing w:line="320" w:lineRule="exact"/>
              <w:ind w:right="105" w:rightChars="5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 xml:space="preserve">按照公司环境和职业健康安全要求操作、参与危险源辨识和风险评价及环境因素评价、负责日常环境和安全检查、本部门的环境和安全的培训和教育宣传、不符合的调查和原因分析和纠正及纠正措施和预防措施的实施检查； </w:t>
            </w:r>
          </w:p>
          <w:p>
            <w:pPr>
              <w:adjustRightInd w:val="0"/>
              <w:snapToGrid w:val="0"/>
              <w:spacing w:line="320" w:lineRule="exact"/>
              <w:ind w:right="105" w:rightChars="50"/>
              <w:textAlignment w:val="baseline"/>
            </w:pPr>
            <w:r>
              <w:rPr>
                <w:rFonts w:hint="eastAsia" w:ascii="宋体" w:hAnsi="宋体" w:eastAsia="宋体" w:cs="Arial"/>
                <w:color w:val="auto"/>
                <w:spacing w:val="-6"/>
                <w:sz w:val="21"/>
                <w:szCs w:val="21"/>
                <w:lang w:val="en-US" w:eastAsia="zh-CN"/>
              </w:rPr>
              <w:t>设置了（兼）职环境及安全事务代表1名</w:t>
            </w:r>
            <w:r>
              <w:rPr>
                <w:rFonts w:hint="eastAsia" w:ascii="宋体" w:hAnsi="宋体" w:eastAsia="宋体" w:cs="Arial"/>
                <w:color w:val="auto"/>
                <w:spacing w:val="-6"/>
                <w:sz w:val="21"/>
                <w:szCs w:val="21"/>
                <w:u w:val="single"/>
                <w:lang w:val="en-US" w:eastAsia="zh-CN"/>
              </w:rPr>
              <w:t>（李合强</w:t>
            </w:r>
            <w:r>
              <w:rPr>
                <w:rFonts w:hint="eastAsia" w:ascii="宋体" w:hAnsi="宋体" w:eastAsia="宋体" w:cs="Arial"/>
                <w:color w:val="auto"/>
                <w:spacing w:val="-6"/>
                <w:sz w:val="21"/>
                <w:szCs w:val="21"/>
                <w:lang w:val="en-US" w:eastAsia="zh-CN"/>
              </w:rPr>
              <w:t>）；查职责内容、包括日常环安巡查及定期检查、现场不符合纠正及纠正和预防措施必要性分析、实施及实施验证；1)负责参与公司职业健康安全管理体系目标的制定、负责参与职业健康安全管理体系管理评审的议题讨论和监督执行、负责参与合理化建议的提案和监督实施等；</w:t>
            </w:r>
          </w:p>
        </w:tc>
        <w:tc>
          <w:tcPr>
            <w:tcW w:w="589" w:type="dxa"/>
            <w:vAlign w:val="top"/>
          </w:tcPr>
          <w:p>
            <w:pPr>
              <w:adjustRightInd w:val="0"/>
              <w:snapToGrid w:val="0"/>
              <w:spacing w:line="320" w:lineRule="exact"/>
              <w:ind w:right="105" w:rightChars="50"/>
              <w:textAlignment w:val="baseline"/>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267" w:type="dxa"/>
            <w:vAlign w:val="top"/>
          </w:tcPr>
          <w:p>
            <w:pPr>
              <w:adjustRightInd w:val="0"/>
              <w:snapToGrid w:val="0"/>
              <w:spacing w:line="320" w:lineRule="exact"/>
              <w:ind w:right="105" w:rightChars="5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 xml:space="preserve">应对风险和机遇的措施 </w:t>
            </w:r>
          </w:p>
          <w:p>
            <w:pPr>
              <w:adjustRightInd w:val="0"/>
              <w:snapToGrid w:val="0"/>
              <w:spacing w:line="320" w:lineRule="exact"/>
              <w:ind w:right="105" w:rightChars="5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总则</w:t>
            </w:r>
          </w:p>
          <w:p>
            <w:pPr>
              <w:adjustRightInd w:val="0"/>
              <w:snapToGrid w:val="0"/>
              <w:spacing w:line="320" w:lineRule="exact"/>
              <w:ind w:right="105" w:rightChars="50"/>
              <w:textAlignment w:val="baseline"/>
              <w:rPr>
                <w:rFonts w:hint="eastAsia" w:ascii="宋体" w:hAnsi="宋体" w:eastAsia="宋体" w:cs="Arial"/>
                <w:color w:val="auto"/>
                <w:spacing w:val="-6"/>
                <w:sz w:val="21"/>
                <w:szCs w:val="21"/>
                <w:lang w:val="en-US" w:eastAsia="zh-CN"/>
              </w:rPr>
            </w:pPr>
          </w:p>
          <w:p>
            <w:pPr>
              <w:adjustRightInd w:val="0"/>
              <w:snapToGrid w:val="0"/>
              <w:spacing w:line="320" w:lineRule="exact"/>
              <w:ind w:right="105" w:rightChars="50"/>
              <w:textAlignment w:val="baseline"/>
              <w:rPr>
                <w:rFonts w:hint="eastAsia" w:ascii="宋体" w:hAnsi="宋体" w:eastAsia="宋体" w:cs="Arial"/>
                <w:color w:val="auto"/>
                <w:spacing w:val="-6"/>
                <w:sz w:val="21"/>
                <w:szCs w:val="21"/>
                <w:lang w:val="en-US" w:eastAsia="zh-CN"/>
              </w:rPr>
            </w:pPr>
          </w:p>
          <w:p>
            <w:pPr>
              <w:adjustRightInd w:val="0"/>
              <w:snapToGrid w:val="0"/>
              <w:spacing w:line="320" w:lineRule="exact"/>
              <w:ind w:right="105" w:rightChars="50"/>
              <w:textAlignment w:val="baseline"/>
              <w:rPr>
                <w:rFonts w:hint="eastAsia" w:ascii="宋体" w:hAnsi="宋体" w:eastAsia="宋体" w:cs="Arial"/>
                <w:color w:val="auto"/>
                <w:spacing w:val="-6"/>
                <w:sz w:val="21"/>
                <w:szCs w:val="21"/>
                <w:lang w:val="en-US" w:eastAsia="zh-CN"/>
              </w:rPr>
            </w:pPr>
          </w:p>
          <w:p>
            <w:pPr>
              <w:adjustRightInd w:val="0"/>
              <w:snapToGrid w:val="0"/>
              <w:spacing w:line="320" w:lineRule="exact"/>
              <w:ind w:right="105" w:rightChars="50"/>
              <w:textAlignment w:val="baseline"/>
              <w:rPr>
                <w:rFonts w:hint="eastAsia" w:ascii="宋体" w:hAnsi="宋体" w:eastAsia="宋体" w:cs="Arial"/>
                <w:color w:val="auto"/>
                <w:spacing w:val="-6"/>
                <w:sz w:val="21"/>
                <w:szCs w:val="21"/>
                <w:lang w:val="en-US" w:eastAsia="zh-CN"/>
              </w:rPr>
            </w:pPr>
          </w:p>
          <w:p>
            <w:pPr>
              <w:adjustRightInd w:val="0"/>
              <w:snapToGrid w:val="0"/>
              <w:spacing w:line="320" w:lineRule="exact"/>
              <w:ind w:right="105" w:rightChars="50"/>
              <w:textAlignment w:val="baseline"/>
              <w:rPr>
                <w:rFonts w:hint="eastAsia" w:ascii="宋体" w:hAnsi="宋体" w:eastAsia="宋体" w:cs="Arial"/>
                <w:color w:val="auto"/>
                <w:spacing w:val="-6"/>
                <w:sz w:val="21"/>
                <w:szCs w:val="21"/>
                <w:lang w:val="en-US" w:eastAsia="zh-CN"/>
              </w:rPr>
            </w:pPr>
          </w:p>
          <w:p>
            <w:pPr>
              <w:adjustRightInd w:val="0"/>
              <w:snapToGrid w:val="0"/>
              <w:spacing w:line="320" w:lineRule="exact"/>
              <w:ind w:right="105" w:rightChars="5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 xml:space="preserve"> </w:t>
            </w:r>
          </w:p>
        </w:tc>
        <w:tc>
          <w:tcPr>
            <w:tcW w:w="742" w:type="dxa"/>
            <w:vAlign w:val="top"/>
          </w:tcPr>
          <w:p>
            <w:pPr>
              <w:adjustRightInd w:val="0"/>
              <w:snapToGrid w:val="0"/>
              <w:spacing w:line="320" w:lineRule="exact"/>
              <w:ind w:right="105" w:rightChars="5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 xml:space="preserve">6.1  </w:t>
            </w:r>
          </w:p>
        </w:tc>
        <w:tc>
          <w:tcPr>
            <w:tcW w:w="7211" w:type="dxa"/>
            <w:vAlign w:val="top"/>
          </w:tcPr>
          <w:p>
            <w:pPr>
              <w:adjustRightInd w:val="0"/>
              <w:snapToGrid w:val="0"/>
              <w:spacing w:line="320" w:lineRule="exact"/>
              <w:ind w:right="105" w:rightChars="5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编制了《环境风险和机遇评估分析表》考虑到了“环境因素、合规义务、内外部因素、相关方及其需求”等内容其中：识别的环境风险（不良环境影响）机遇4条、具体包括“对环境因素识别不充分导致环境污染的发生。重要环境因素识别不充分导致严重环境污染的发生，对相关环境法律法规识别不充分导致违法行为的发生。使用失效的法律法规导致违法行为的发生。对相关法律法规理解不透彻导致违法行为的发生”等；</w:t>
            </w:r>
          </w:p>
          <w:p>
            <w:pPr>
              <w:adjustRightInd w:val="0"/>
              <w:snapToGrid w:val="0"/>
              <w:spacing w:line="320" w:lineRule="exact"/>
              <w:ind w:right="105" w:rightChars="50"/>
              <w:textAlignment w:val="baseline"/>
              <w:rPr>
                <w:rFonts w:hint="default"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相应的控制措施“加强环境相关知识在组织的积累，努力拓宽环境知识收集渠道。每年针对环境因素再评价时要重点关注法律法规、相关环境知识的更新情况，及时作出调整。对重要环境因素识别工作的细节严格按照程序文件规定的方法进行，防止错误和遗漏发生；加强法律法规识别的评审工作，对适宜性重点评审，做到不遗漏。认真核对法律法规的版本的有效性。加强法律法规的培训与学习，并及时验证培训的有效性”等；  措施评审结论“有效”、有责任部门和相关人员评价要求信息；文件更新2020.1.8；</w:t>
            </w:r>
          </w:p>
          <w:p>
            <w:pPr>
              <w:adjustRightInd w:val="0"/>
              <w:snapToGrid w:val="0"/>
              <w:spacing w:line="320" w:lineRule="exact"/>
              <w:ind w:right="105" w:rightChars="5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 xml:space="preserve">另查潜在紧急情况 主要是“火灾”、相应的控制措施包括“人员培训教育、日常巡查点检”等；查措施评价结论“有效”； </w:t>
            </w:r>
          </w:p>
          <w:p>
            <w:pPr>
              <w:adjustRightInd w:val="0"/>
              <w:snapToGrid w:val="0"/>
              <w:spacing w:line="320" w:lineRule="exact"/>
              <w:ind w:right="105" w:rightChars="5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识别的“职业健康安全风险机遇”4条、具体包括“对危险源识别不充分导致环境污染的发生。不可接受风险识别不充分导致安全事故的发生，对相关环境法律法规识别不充分导致违法行为的发生。使用失效的法律法规导致违法行为的发生。对相关法律法规理解不透彻导致违法行为的发生”等；相应的控制措施“加强法律法规识别的评审工作，对适宜性重点评审，做到不遗漏。认真核对法律法规的版本的有效性。加强法律法规的培训与学习，并及时验证培训的有效性”等；措施评审结论“有效”、有责任部门和相关人员评价要求信息；文件更新2020.1.8；</w:t>
            </w:r>
          </w:p>
        </w:tc>
        <w:tc>
          <w:tcPr>
            <w:tcW w:w="589" w:type="dxa"/>
            <w:vAlign w:val="top"/>
          </w:tcPr>
          <w:p>
            <w:pPr>
              <w:adjustRightInd w:val="0"/>
              <w:snapToGrid w:val="0"/>
              <w:spacing w:line="320" w:lineRule="exact"/>
              <w:ind w:right="105" w:rightChars="50"/>
              <w:textAlignment w:val="baseline"/>
              <w:rPr>
                <w:rFonts w:hint="default" w:ascii="宋体" w:hAnsi="宋体" w:eastAsia="宋体" w:cs="Arial"/>
                <w:color w:val="auto"/>
                <w:spacing w:val="-6"/>
                <w:sz w:val="21"/>
                <w:szCs w:val="21"/>
                <w:lang w:val="en-US" w:eastAsia="zh-CN"/>
              </w:rPr>
            </w:pPr>
            <w:r>
              <w:rPr>
                <w:rFonts w:hint="eastAsia" w:ascii="宋体" w:hAnsi="宋体" w:cs="Arial"/>
                <w:color w:val="auto"/>
                <w:spacing w:val="-6"/>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267" w:type="dxa"/>
            <w:vAlign w:val="top"/>
          </w:tcPr>
          <w:p>
            <w:pPr>
              <w:adjustRightInd w:val="0"/>
              <w:snapToGrid w:val="0"/>
              <w:spacing w:line="320" w:lineRule="exact"/>
              <w:ind w:right="105" w:rightChars="50"/>
              <w:textAlignment w:val="baseline"/>
            </w:pPr>
            <w:r>
              <w:rPr>
                <w:rFonts w:hint="eastAsia" w:ascii="宋体" w:hAnsi="宋体" w:eastAsia="宋体" w:cs="Arial"/>
                <w:color w:val="auto"/>
                <w:spacing w:val="-6"/>
                <w:sz w:val="21"/>
                <w:szCs w:val="21"/>
                <w:lang w:val="en-US" w:eastAsia="zh-CN"/>
              </w:rPr>
              <w:t>环境安全目标及其实现的策划、</w:t>
            </w:r>
          </w:p>
        </w:tc>
        <w:tc>
          <w:tcPr>
            <w:tcW w:w="742" w:type="dxa"/>
            <w:vAlign w:val="top"/>
          </w:tcPr>
          <w:p>
            <w:pPr>
              <w:adjustRightInd w:val="0"/>
              <w:snapToGrid w:val="0"/>
              <w:spacing w:line="320" w:lineRule="exact"/>
              <w:ind w:right="105" w:rightChars="5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6.2</w:t>
            </w:r>
          </w:p>
        </w:tc>
        <w:tc>
          <w:tcPr>
            <w:tcW w:w="7211" w:type="dxa"/>
            <w:vAlign w:val="top"/>
          </w:tcPr>
          <w:p>
            <w:pPr>
              <w:adjustRightInd w:val="0"/>
              <w:snapToGrid w:val="0"/>
              <w:spacing w:line="320" w:lineRule="exact"/>
              <w:ind w:right="105" w:rightChars="50"/>
              <w:textAlignment w:val="baseline"/>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公司环境职业健康安全目标/指标“火灾事故为零。固体废弃物处置率100%、火灾为0、触电事故为零；轻伤事故率在2‰以内，重大安全事故为零。”；</w:t>
            </w:r>
          </w:p>
          <w:p>
            <w:pPr>
              <w:adjustRightInd w:val="0"/>
              <w:snapToGrid w:val="0"/>
              <w:spacing w:line="320" w:lineRule="exact"/>
              <w:ind w:right="105" w:rightChars="50"/>
              <w:textAlignment w:val="baseline"/>
              <w:rPr>
                <w:rFonts w:hint="default"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提供《环境目标、指标/职业健康安全目标与管理方案及实施情况一览表》查上述环境和职业健康安全目标基本与职业健康安全方针保持一致；可度量（如可行）或可进行绩效评价； 考虑：适用的要求；风险和机遇的评价结果；与员工和员工代表（如有员工代表）协商的结果；得到监视；予以沟通； 更新2020.1.8.；</w:t>
            </w:r>
          </w:p>
          <w:p>
            <w:pPr>
              <w:adjustRightInd w:val="0"/>
              <w:snapToGrid w:val="0"/>
              <w:spacing w:line="320" w:lineRule="exact"/>
              <w:ind w:right="105" w:rightChars="50"/>
              <w:textAlignment w:val="baseline"/>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另查目标指标方案中已经包含了：具体工作内容、需要资源财力、负责人、完成时间节点、包括用于监视的参数的结果评价方式、措施在其业务过程中的应用情况；</w:t>
            </w:r>
          </w:p>
          <w:p>
            <w:pPr>
              <w:adjustRightInd w:val="0"/>
              <w:snapToGrid w:val="0"/>
              <w:spacing w:line="320" w:lineRule="exact"/>
              <w:ind w:right="105" w:rightChars="50"/>
              <w:textAlignment w:val="baseline"/>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采取的措施：人员培训教育、完善管理制度、严格按照制度和程序文件执行、日常巡检查发现问题及和质量目标偏离的情况及时整改和调整、对相关责任人作出处理、严格各项绩效考核评价制度、实际中认真执行、鼓励员工积极创新对现有规定提出意见和建议等；</w:t>
            </w:r>
          </w:p>
          <w:p>
            <w:pPr>
              <w:adjustRightInd w:val="0"/>
              <w:snapToGrid w:val="0"/>
              <w:spacing w:line="320" w:lineRule="exact"/>
              <w:ind w:right="105" w:rightChars="50"/>
              <w:textAlignment w:val="baseline"/>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需要的资源：</w:t>
            </w:r>
          </w:p>
          <w:p>
            <w:pPr>
              <w:adjustRightInd w:val="0"/>
              <w:snapToGrid w:val="0"/>
              <w:spacing w:line="320" w:lineRule="exact"/>
              <w:ind w:right="105" w:rightChars="50"/>
              <w:textAlignment w:val="baseline"/>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查2019年公司总目标完成情况基本达标；</w:t>
            </w:r>
          </w:p>
          <w:p>
            <w:pPr>
              <w:adjustRightInd w:val="0"/>
              <w:snapToGrid w:val="0"/>
              <w:spacing w:line="320" w:lineRule="exact"/>
              <w:ind w:right="105" w:rightChars="50"/>
              <w:textAlignment w:val="baseline"/>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另提供《环境\职业健康安全目标分解考核表(2020年3-2020年5月)》考核时间2020.6.1.、显示分解的目标指标均已完成、公司总目标已经达成、符合规定；</w:t>
            </w:r>
          </w:p>
        </w:tc>
        <w:tc>
          <w:tcPr>
            <w:tcW w:w="589" w:type="dxa"/>
            <w:vAlign w:val="top"/>
          </w:tcPr>
          <w:p>
            <w:pPr>
              <w:adjustRightInd w:val="0"/>
              <w:snapToGrid w:val="0"/>
              <w:spacing w:line="320" w:lineRule="exact"/>
              <w:ind w:right="105" w:rightChars="50"/>
              <w:textAlignment w:val="baseline"/>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5" w:hRule="atLeast"/>
        </w:trPr>
        <w:tc>
          <w:tcPr>
            <w:tcW w:w="1267" w:type="dxa"/>
          </w:tcPr>
          <w:p>
            <w:pPr>
              <w:adjustRightInd w:val="0"/>
              <w:snapToGrid w:val="0"/>
              <w:spacing w:line="320" w:lineRule="exact"/>
              <w:ind w:right="105" w:rightChars="50"/>
              <w:textAlignment w:val="baseline"/>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 xml:space="preserve">监视、测量、分析和评价 </w:t>
            </w:r>
          </w:p>
          <w:p>
            <w:pPr>
              <w:adjustRightInd w:val="0"/>
              <w:snapToGrid w:val="0"/>
              <w:spacing w:line="320" w:lineRule="exact"/>
              <w:ind w:right="105" w:rightChars="50"/>
              <w:textAlignment w:val="baseline"/>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总则</w:t>
            </w:r>
          </w:p>
          <w:p>
            <w:pPr>
              <w:adjustRightInd w:val="0"/>
              <w:snapToGrid w:val="0"/>
              <w:spacing w:line="320" w:lineRule="exact"/>
              <w:ind w:right="105" w:rightChars="50"/>
              <w:textAlignment w:val="baseline"/>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分析与评价</w:t>
            </w:r>
          </w:p>
          <w:p>
            <w:pPr>
              <w:adjustRightInd w:val="0"/>
              <w:snapToGrid w:val="0"/>
              <w:spacing w:line="320" w:lineRule="exact"/>
              <w:ind w:right="105" w:rightChars="50"/>
              <w:textAlignment w:val="baseline"/>
              <w:rPr>
                <w:rFonts w:hint="eastAsia" w:ascii="Times New Roman" w:hAnsi="Times New Roman" w:eastAsia="宋体" w:cs="Times New Roman"/>
                <w:szCs w:val="22"/>
                <w:lang w:val="en-US" w:eastAsia="zh-CN"/>
              </w:rPr>
            </w:pPr>
          </w:p>
        </w:tc>
        <w:tc>
          <w:tcPr>
            <w:tcW w:w="742" w:type="dxa"/>
          </w:tcPr>
          <w:p>
            <w:pPr>
              <w:adjustRightInd w:val="0"/>
              <w:snapToGrid w:val="0"/>
              <w:spacing w:line="320" w:lineRule="exact"/>
              <w:ind w:right="105" w:rightChars="5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9.1.1</w:t>
            </w:r>
          </w:p>
          <w:p>
            <w:pPr>
              <w:adjustRightInd w:val="0"/>
              <w:snapToGrid w:val="0"/>
              <w:spacing w:line="320" w:lineRule="exact"/>
              <w:ind w:right="105" w:rightChars="50"/>
              <w:textAlignment w:val="baseline"/>
              <w:rPr>
                <w:rFonts w:hint="eastAsia" w:ascii="宋体" w:hAnsi="宋体" w:eastAsia="宋体" w:cs="Arial"/>
                <w:color w:val="auto"/>
                <w:spacing w:val="-6"/>
                <w:sz w:val="21"/>
                <w:szCs w:val="21"/>
                <w:lang w:val="en-US" w:eastAsia="zh-CN"/>
              </w:rPr>
            </w:pPr>
          </w:p>
        </w:tc>
        <w:tc>
          <w:tcPr>
            <w:tcW w:w="7211" w:type="dxa"/>
          </w:tcPr>
          <w:p>
            <w:pPr>
              <w:adjustRightInd w:val="0"/>
              <w:snapToGrid w:val="0"/>
              <w:spacing w:line="320" w:lineRule="exact"/>
              <w:ind w:right="105" w:rightChars="50"/>
              <w:textAlignment w:val="baseline"/>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提供《运营部过程监视和测量方案》监视测量项目包括“公司培训计划、日常环境卫生检查等”；</w:t>
            </w:r>
          </w:p>
          <w:p>
            <w:pPr>
              <w:adjustRightInd w:val="0"/>
              <w:snapToGrid w:val="0"/>
              <w:spacing w:line="320" w:lineRule="exact"/>
              <w:ind w:right="105" w:rightChars="50"/>
              <w:textAlignment w:val="baseline"/>
              <w:rPr>
                <w:rFonts w:hint="default"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查《环境安全目标指标》均已完成、日期2020.1.19.；</w:t>
            </w:r>
          </w:p>
          <w:p>
            <w:pPr>
              <w:adjustRightInd w:val="0"/>
              <w:snapToGrid w:val="0"/>
              <w:spacing w:line="320" w:lineRule="exact"/>
              <w:ind w:right="105" w:rightChars="50"/>
              <w:textAlignment w:val="baseline"/>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现场审核：销售过程在办公区中进行、无废气、噪音等排放、生活污水按照要求排入下水道、办公垃圾及时运走、提供《固废的分类报告》包括“墨盒硒鼓的更换信息”；</w:t>
            </w:r>
          </w:p>
          <w:p>
            <w:pPr>
              <w:adjustRightInd w:val="0"/>
              <w:snapToGrid w:val="0"/>
              <w:spacing w:line="320" w:lineRule="exact"/>
              <w:ind w:right="105" w:rightChars="50"/>
              <w:textAlignment w:val="baseline"/>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另提供《日常安全检查记录》检查项目“办公区的安全卫生、用电、火情”等、结论合格、检查人李颖；</w:t>
            </w:r>
          </w:p>
          <w:p>
            <w:pPr>
              <w:adjustRightInd w:val="0"/>
              <w:snapToGrid w:val="0"/>
              <w:spacing w:line="320" w:lineRule="exact"/>
              <w:ind w:right="105" w:rightChars="50"/>
              <w:textAlignment w:val="baseline"/>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另摄像头、感烟感温报警器——处于正常状态；</w:t>
            </w:r>
          </w:p>
          <w:p>
            <w:pPr>
              <w:adjustRightInd w:val="0"/>
              <w:snapToGrid w:val="0"/>
              <w:spacing w:line="320" w:lineRule="exact"/>
              <w:ind w:right="105" w:rightChars="50"/>
              <w:textAlignment w:val="baseline"/>
              <w:rPr>
                <w:rFonts w:hint="default"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2020年受到疫情影响、销售活动停滞、故未做体检；</w:t>
            </w:r>
          </w:p>
        </w:tc>
        <w:tc>
          <w:tcPr>
            <w:tcW w:w="589" w:type="dxa"/>
          </w:tcPr>
          <w:p>
            <w:pPr>
              <w:rPr>
                <w:rFonts w:hint="default"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1267" w:type="dxa"/>
          </w:tcPr>
          <w:p>
            <w:pPr>
              <w:adjustRightInd w:val="0"/>
              <w:snapToGrid w:val="0"/>
              <w:spacing w:line="320" w:lineRule="exact"/>
              <w:ind w:right="105" w:rightChars="50"/>
              <w:textAlignment w:val="baseline"/>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管理评审</w:t>
            </w:r>
          </w:p>
          <w:p>
            <w:pPr>
              <w:adjustRightInd w:val="0"/>
              <w:snapToGrid w:val="0"/>
              <w:spacing w:line="320" w:lineRule="exact"/>
              <w:ind w:right="105" w:rightChars="50"/>
              <w:textAlignment w:val="baseline"/>
              <w:rPr>
                <w:rFonts w:hint="eastAsia" w:ascii="Times New Roman" w:hAnsi="Times New Roman" w:eastAsia="宋体" w:cs="Times New Roman"/>
                <w:szCs w:val="22"/>
                <w:lang w:val="en-US" w:eastAsia="zh-CN"/>
              </w:rPr>
            </w:pPr>
          </w:p>
        </w:tc>
        <w:tc>
          <w:tcPr>
            <w:tcW w:w="742" w:type="dxa"/>
          </w:tcPr>
          <w:p>
            <w:pPr>
              <w:adjustRightInd w:val="0"/>
              <w:snapToGrid w:val="0"/>
              <w:spacing w:line="320" w:lineRule="exact"/>
              <w:ind w:right="105" w:rightChars="5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 xml:space="preserve">9.3 </w:t>
            </w:r>
          </w:p>
          <w:p>
            <w:pPr>
              <w:adjustRightInd w:val="0"/>
              <w:snapToGrid w:val="0"/>
              <w:spacing w:line="320" w:lineRule="exact"/>
              <w:ind w:right="105" w:rightChars="50"/>
              <w:textAlignment w:val="baseline"/>
              <w:rPr>
                <w:rFonts w:hint="eastAsia" w:ascii="宋体" w:hAnsi="宋体" w:eastAsia="宋体" w:cs="Arial"/>
                <w:color w:val="auto"/>
                <w:spacing w:val="-6"/>
                <w:sz w:val="21"/>
                <w:szCs w:val="21"/>
                <w:lang w:val="en-US" w:eastAsia="zh-CN"/>
              </w:rPr>
            </w:pPr>
          </w:p>
        </w:tc>
        <w:tc>
          <w:tcPr>
            <w:tcW w:w="7211" w:type="dxa"/>
          </w:tcPr>
          <w:p>
            <w:pPr>
              <w:adjustRightInd w:val="0"/>
              <w:snapToGrid w:val="0"/>
              <w:spacing w:line="320" w:lineRule="exact"/>
              <w:ind w:right="105" w:rightChars="50"/>
              <w:textAlignment w:val="baseline"/>
              <w:rPr>
                <w:rFonts w:hint="eastAsia"/>
                <w:lang w:val="en-US" w:eastAsia="zh-CN"/>
              </w:rPr>
            </w:pPr>
            <w:r>
              <w:rPr>
                <w:rFonts w:hint="eastAsia"/>
                <w:lang w:val="en-US" w:eastAsia="zh-CN"/>
              </w:rPr>
              <w:t>提供《管理评审计划》内容包括评审目的、评审依据、评审内容等、计划管评日期“2020.1.20”、参加人包括体系覆盖的所有部门的负责人、管评主持人“李阳”、计划编制和日期“2020.1.6.”；</w:t>
            </w:r>
          </w:p>
          <w:p>
            <w:pPr>
              <w:adjustRightInd w:val="0"/>
              <w:snapToGrid w:val="0"/>
              <w:spacing w:line="320" w:lineRule="exact"/>
              <w:ind w:right="105" w:rightChars="50"/>
              <w:textAlignment w:val="baseline"/>
              <w:rPr>
                <w:rFonts w:hint="eastAsia"/>
                <w:lang w:val="en-US" w:eastAsia="zh-CN"/>
              </w:rPr>
            </w:pPr>
            <w:r>
              <w:rPr>
                <w:rFonts w:hint="eastAsia"/>
                <w:lang w:val="en-US" w:eastAsia="zh-CN"/>
              </w:rPr>
              <w:t>提供《管理评审会议记录》内容包括参加人、主持人、主题等信息，其中记录内容包括管带及其他部门经理发言内容、总经理总结等过程；</w:t>
            </w:r>
          </w:p>
          <w:p>
            <w:pPr>
              <w:adjustRightInd w:val="0"/>
              <w:snapToGrid w:val="0"/>
              <w:spacing w:line="320" w:lineRule="exact"/>
              <w:ind w:right="105" w:rightChars="50"/>
              <w:textAlignment w:val="baseline"/>
              <w:rPr>
                <w:rFonts w:hint="eastAsia"/>
                <w:lang w:val="en-US" w:eastAsia="zh-CN"/>
              </w:rPr>
            </w:pPr>
            <w:r>
              <w:rPr>
                <w:rFonts w:hint="eastAsia"/>
                <w:lang w:val="en-US" w:eastAsia="zh-CN"/>
              </w:rPr>
              <w:t xml:space="preserve">提供输入信息4份，抽查1份，《关于合规义务的合规性评价报告》内容包括“公司建立和保持了《法律、法规获取及识别控制程序》。公司在识别、确认、登记、更新上均按程序要求执行，通过安全监督管理网站、环境管理网站等互联网以及订阅的报刊等方式获取法律法规及其它要求，教育职工遵章守法、大力提倡节约资源、保护生态环境、遵守各种安全管理制度、预防杜绝事故和职业病发生。通过制度及程序文件控制管理，提高了员工的环境保护、健康安全意识，并能够自觉地遵守本岗位有关的程序和法律法规的要求。”等内容；报告人“李颖”； </w:t>
            </w:r>
          </w:p>
          <w:p>
            <w:pPr>
              <w:adjustRightInd w:val="0"/>
              <w:snapToGrid w:val="0"/>
              <w:spacing w:line="320" w:lineRule="exact"/>
              <w:ind w:right="105" w:rightChars="50"/>
              <w:textAlignment w:val="baseline"/>
              <w:rPr>
                <w:rFonts w:hint="eastAsia"/>
                <w:lang w:val="en-US" w:eastAsia="zh-CN"/>
              </w:rPr>
            </w:pPr>
            <w:r>
              <w:rPr>
                <w:rFonts w:hint="eastAsia"/>
                <w:lang w:val="en-US" w:eastAsia="zh-CN"/>
              </w:rPr>
              <w:t>提供《管理评审报告》内容包括体系的整体运行包括质量环境方针目标指标环境管理方案的实现及合规评价的情况、环境/职业健康安全内部审核的情况、及外部相关方交流反馈取得的信息、汇报公司环境/职业健康安全绩效情况、不符合纠正和预防措施的现状及落实和改进情况、EHS手册和程序文件的适宜性和有效性及资源配置情况、可能影响环境/职业健康安全体系改进的建议等内容。</w:t>
            </w:r>
          </w:p>
          <w:p>
            <w:pPr>
              <w:adjustRightInd w:val="0"/>
              <w:snapToGrid w:val="0"/>
              <w:spacing w:line="320" w:lineRule="exact"/>
              <w:ind w:right="105" w:rightChars="50"/>
              <w:textAlignment w:val="baseline"/>
              <w:rPr>
                <w:rFonts w:hint="eastAsia"/>
                <w:lang w:val="en-US" w:eastAsia="zh-CN"/>
              </w:rPr>
            </w:pPr>
            <w:r>
              <w:rPr>
                <w:rFonts w:hint="eastAsia"/>
                <w:lang w:val="en-US" w:eastAsia="zh-CN"/>
              </w:rPr>
              <w:t>总经理做出的评审决议包括：1对公司质量环境方针目标进行了认真的评价、全面总结了公司的环境/职业健康安全的运行情况、肯定了体系运行的适宜性充分性和有效性、对提出的问题进行了认真的讨论、商榷了解决问题的方法、会议圆满成功；报告人“李阳”、日期“2020.1.20.”；</w:t>
            </w:r>
          </w:p>
          <w:p>
            <w:pPr>
              <w:pStyle w:val="7"/>
              <w:rPr>
                <w:rFonts w:hint="default"/>
                <w:lang w:val="en-US" w:eastAsia="zh-CN"/>
              </w:rPr>
            </w:pPr>
            <w:r>
              <w:rPr>
                <w:rFonts w:hint="eastAsia" w:ascii="Times New Roman" w:hAnsi="Times New Roman" w:eastAsia="宋体" w:cs="Times New Roman"/>
                <w:b w:val="0"/>
                <w:bCs w:val="0"/>
                <w:caps w:val="0"/>
                <w:kern w:val="2"/>
                <w:sz w:val="21"/>
                <w:szCs w:val="22"/>
                <w:lang w:val="en-US" w:eastAsia="zh-CN" w:bidi="ar-SA"/>
              </w:rPr>
              <w:t>会议对上次管理评审做出改进情况</w:t>
            </w:r>
            <w:r>
              <w:rPr>
                <w:rFonts w:hint="eastAsia" w:ascii="Times New Roman" w:hAnsi="Times New Roman" w:cs="Times New Roman"/>
                <w:b w:val="0"/>
                <w:bCs w:val="0"/>
                <w:caps w:val="0"/>
                <w:kern w:val="2"/>
                <w:sz w:val="21"/>
                <w:szCs w:val="22"/>
                <w:lang w:val="en-US" w:eastAsia="zh-CN" w:bidi="ar-SA"/>
              </w:rPr>
              <w:t>（对员工进行EHS标准培训）</w:t>
            </w:r>
            <w:r>
              <w:rPr>
                <w:rFonts w:hint="eastAsia" w:ascii="Times New Roman" w:hAnsi="Times New Roman" w:eastAsia="宋体" w:cs="Times New Roman"/>
                <w:b w:val="0"/>
                <w:bCs w:val="0"/>
                <w:caps w:val="0"/>
                <w:kern w:val="2"/>
                <w:sz w:val="21"/>
                <w:szCs w:val="22"/>
                <w:lang w:val="en-US" w:eastAsia="zh-CN" w:bidi="ar-SA"/>
              </w:rPr>
              <w:t>进行检查，</w:t>
            </w:r>
            <w:r>
              <w:rPr>
                <w:rFonts w:hint="eastAsia" w:ascii="Times New Roman" w:hAnsi="Times New Roman" w:cs="Times New Roman"/>
                <w:b w:val="0"/>
                <w:bCs w:val="0"/>
                <w:caps w:val="0"/>
                <w:kern w:val="2"/>
                <w:sz w:val="21"/>
                <w:szCs w:val="22"/>
                <w:lang w:val="en-US" w:eastAsia="zh-CN" w:bidi="ar-SA"/>
              </w:rPr>
              <w:t>已经进行了培训，培训效果有待提高。</w:t>
            </w:r>
          </w:p>
        </w:tc>
        <w:tc>
          <w:tcPr>
            <w:tcW w:w="589"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267" w:type="dxa"/>
          </w:tcPr>
          <w:p>
            <w:r>
              <w:rPr>
                <w:rFonts w:hint="eastAsia" w:ascii="宋体" w:hAnsi="宋体" w:eastAsia="宋体" w:cs="宋体"/>
                <w:color w:val="000000"/>
                <w:sz w:val="24"/>
                <w:szCs w:val="24"/>
              </w:rPr>
              <w:t>总则</w:t>
            </w:r>
          </w:p>
        </w:tc>
        <w:tc>
          <w:tcPr>
            <w:tcW w:w="742" w:type="dxa"/>
          </w:tcPr>
          <w:p>
            <w:pPr>
              <w:jc w:val="left"/>
              <w:rPr>
                <w:rFonts w:hint="default" w:ascii="宋体" w:hAnsi="宋体" w:eastAsia="宋体" w:cs="宋体"/>
                <w:b w:val="0"/>
                <w:bCs/>
                <w:color w:val="auto"/>
                <w:sz w:val="24"/>
                <w:szCs w:val="24"/>
                <w:lang w:val="en-US" w:eastAsia="zh-CN"/>
              </w:rPr>
            </w:pPr>
            <w:r>
              <w:rPr>
                <w:rFonts w:hint="eastAsia" w:ascii="宋体" w:hAnsi="宋体" w:eastAsia="宋体" w:cs="宋体"/>
                <w:color w:val="000000"/>
                <w:sz w:val="24"/>
                <w:szCs w:val="24"/>
              </w:rPr>
              <w:t xml:space="preserve">10.1 </w:t>
            </w:r>
            <w:r>
              <w:rPr>
                <w:rFonts w:hint="eastAsia" w:ascii="宋体" w:hAnsi="宋体" w:eastAsia="宋体" w:cs="宋体"/>
                <w:color w:val="000000"/>
                <w:sz w:val="24"/>
                <w:szCs w:val="24"/>
                <w:lang w:val="en-US" w:eastAsia="zh-CN"/>
              </w:rPr>
              <w:t xml:space="preserve"> </w:t>
            </w:r>
          </w:p>
          <w:p>
            <w:pP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w:t>
            </w:r>
          </w:p>
          <w:p>
            <w:pPr>
              <w:jc w:val="left"/>
              <w:rPr>
                <w:rFonts w:hint="eastAsia" w:ascii="宋体" w:hAnsi="宋体" w:eastAsia="宋体" w:cs="宋体"/>
                <w:b w:val="0"/>
                <w:bCs/>
                <w:color w:val="auto"/>
                <w:sz w:val="24"/>
                <w:szCs w:val="24"/>
                <w:lang w:val="en-US" w:eastAsia="zh-CN"/>
              </w:rPr>
            </w:pPr>
            <w:r>
              <w:rPr>
                <w:rFonts w:hint="eastAsia" w:ascii="宋体" w:hAnsi="宋体" w:eastAsia="宋体" w:cs="宋体"/>
                <w:color w:val="000000"/>
                <w:sz w:val="24"/>
                <w:szCs w:val="24"/>
                <w:lang w:val="en-US" w:eastAsia="zh-CN"/>
              </w:rPr>
              <w:t xml:space="preserve"> </w:t>
            </w:r>
          </w:p>
          <w:p>
            <w:pPr>
              <w:jc w:val="left"/>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 xml:space="preserve"> </w:t>
            </w:r>
          </w:p>
          <w:p>
            <w:pPr>
              <w:spacing w:line="0" w:lineRule="atLeast"/>
              <w:rPr>
                <w:rFonts w:hint="eastAsia" w:ascii="宋体" w:hAnsi="宋体" w:eastAsia="宋体" w:cs="宋体"/>
                <w:color w:val="auto"/>
                <w:sz w:val="24"/>
                <w:szCs w:val="24"/>
                <w:lang w:val="en-US" w:eastAsia="zh-CN"/>
              </w:rPr>
            </w:pPr>
            <w:r>
              <w:rPr>
                <w:rFonts w:hint="eastAsia" w:ascii="宋体" w:hAnsi="宋体" w:eastAsia="宋体" w:cs="宋体"/>
                <w:b w:val="0"/>
                <w:bCs/>
                <w:color w:val="auto"/>
                <w:sz w:val="24"/>
                <w:szCs w:val="24"/>
                <w:lang w:val="en-US" w:eastAsia="zh-CN"/>
              </w:rPr>
              <w:t xml:space="preserve"> </w:t>
            </w:r>
          </w:p>
          <w:p>
            <w:pPr>
              <w:spacing w:line="0" w:lineRule="atLeas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w:t>
            </w:r>
          </w:p>
          <w:p>
            <w:pPr>
              <w:spacing w:line="0" w:lineRule="atLeast"/>
              <w:rPr>
                <w:rFonts w:hint="eastAsia" w:ascii="宋体" w:hAnsi="宋体" w:eastAsia="宋体" w:cs="宋体"/>
                <w:color w:val="auto"/>
                <w:sz w:val="24"/>
                <w:szCs w:val="24"/>
                <w:lang w:val="en-US" w:eastAsia="zh-CN"/>
              </w:rPr>
            </w:pPr>
          </w:p>
          <w:p>
            <w:pPr>
              <w:spacing w:line="0" w:lineRule="atLeast"/>
              <w:rPr>
                <w:rFonts w:hint="eastAsia" w:ascii="宋体" w:hAnsi="宋体" w:eastAsia="宋体" w:cs="宋体"/>
                <w:color w:val="auto"/>
                <w:sz w:val="24"/>
                <w:szCs w:val="24"/>
                <w:lang w:val="en-US" w:eastAsia="zh-CN"/>
              </w:rPr>
            </w:pPr>
          </w:p>
          <w:p>
            <w:r>
              <w:rPr>
                <w:rFonts w:hint="eastAsia" w:ascii="宋体" w:hAnsi="宋体" w:eastAsia="宋体" w:cs="宋体"/>
                <w:color w:val="auto"/>
                <w:sz w:val="24"/>
                <w:szCs w:val="24"/>
                <w:lang w:val="en-US" w:eastAsia="zh-CN"/>
              </w:rPr>
              <w:t xml:space="preserve"> </w:t>
            </w:r>
          </w:p>
        </w:tc>
        <w:tc>
          <w:tcPr>
            <w:tcW w:w="7211" w:type="dxa"/>
          </w:tcPr>
          <w:p>
            <w:r>
              <w:rPr>
                <w:rFonts w:hint="eastAsia" w:ascii="宋体" w:hAnsi="宋体" w:eastAsia="宋体" w:cs="Arial"/>
                <w:color w:val="auto"/>
                <w:spacing w:val="-6"/>
                <w:sz w:val="21"/>
                <w:szCs w:val="21"/>
                <w:lang w:val="en-US" w:eastAsia="zh-CN"/>
              </w:rPr>
              <w:t>组织全公司所有部门人员，对本公司在生活／办公和生产的所有环节的危险源进行识别，并编制出不可接受风险的危险源清单。在管理者代表的组织和领导下，根据本公司的实际情况和标准的要求，编制了本公司职业健康安全目标指标及管理方案，对各种可能出现的潜在的安全风险编制了应急准备和响应预案。对公司所有生产设备、环保设备进行管理，编制了相关的安全操作规程和安全管理制度，《环境、安全管理制度汇编》。上述文件的建立使本公司环境管理和职业健康安全管理更条理化、规范化和制度化。 建立了特殊作业的员工体检制度，建立了员工体检档案，到目前为止本公司没有发生与职业病有关的疾病。在管理者代表的组织和领导下，对本公司适用的、现行的法律法规及其他要求进行了收集和整理，编制了适用的、现行的法律法规及其他要求清单，包括环境、职业健康安全和河北省、文安政府部门发布的有相环境、职业健康安全的要求。对本公司适用的、现行的法律法规及其他要求的合规性进行了评价，更加明确了本公司所要执行的法律法规及其他要求的内容。</w:t>
            </w:r>
          </w:p>
        </w:tc>
        <w:tc>
          <w:tcPr>
            <w:tcW w:w="589"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267" w:type="dxa"/>
            <w:vAlign w:val="top"/>
          </w:tcPr>
          <w:p>
            <w:pPr>
              <w:adjustRightInd w:val="0"/>
              <w:snapToGrid w:val="0"/>
              <w:spacing w:line="320" w:lineRule="exact"/>
              <w:ind w:right="105" w:rightChars="5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持续改进</w:t>
            </w:r>
          </w:p>
          <w:p>
            <w:pPr>
              <w:adjustRightInd w:val="0"/>
              <w:snapToGrid w:val="0"/>
              <w:spacing w:line="320" w:lineRule="exact"/>
              <w:ind w:right="105" w:rightChars="50"/>
              <w:textAlignment w:val="baseline"/>
            </w:pPr>
          </w:p>
        </w:tc>
        <w:tc>
          <w:tcPr>
            <w:tcW w:w="742" w:type="dxa"/>
            <w:vAlign w:val="top"/>
          </w:tcPr>
          <w:p>
            <w:pPr>
              <w:adjustRightInd w:val="0"/>
              <w:snapToGrid w:val="0"/>
              <w:spacing w:line="320" w:lineRule="exact"/>
              <w:ind w:right="105" w:rightChars="5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10.3</w:t>
            </w:r>
          </w:p>
          <w:p>
            <w:pPr>
              <w:adjustRightInd w:val="0"/>
              <w:snapToGrid w:val="0"/>
              <w:spacing w:line="320" w:lineRule="exact"/>
              <w:ind w:right="105" w:rightChars="50"/>
              <w:textAlignment w:val="baseline"/>
            </w:pPr>
          </w:p>
        </w:tc>
        <w:tc>
          <w:tcPr>
            <w:tcW w:w="7211" w:type="dxa"/>
            <w:vAlign w:val="top"/>
          </w:tcPr>
          <w:p>
            <w:pPr>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公司制定《纠正预防措施控制程序》，规定了纠正措施的来源,明确了对不合格项应进行原因分析,制定纠正措施计划,实施跟踪验证,确保所采取 的纠正措施满足预期要求。</w:t>
            </w:r>
          </w:p>
          <w:p>
            <w:pPr>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对不合格品采取退回上一工序处置，对其进行原因分析并采取纠正措施，经生产部主任验收，有效。</w:t>
            </w:r>
          </w:p>
          <w:p>
            <w:pPr>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内审中发现的不符合项已经采取纠正措施，整改完毕且有效。</w:t>
            </w:r>
          </w:p>
          <w:p>
            <w:pPr>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通过交谈，基本能清楚纠正和预防措施的控制要求。改进的示例包括纠正、纠正措施、持续改进。</w:t>
            </w:r>
          </w:p>
          <w:p>
            <w:pPr>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为确保公司提供给客户合格的产品和服务，公司开展检查和考核工作。</w:t>
            </w:r>
          </w:p>
          <w:p>
            <w:pPr>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根据不同过程、不同产品和不同要求，采取不同的方法进行监视、测量和分析。无其他不符合发生。</w:t>
            </w:r>
          </w:p>
          <w:p>
            <w:pPr>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公司利用质量方针、目标、内审和外审、数据分析、纠正和预防措施以及管理评审，识别任何改进的机会，持续改进管理体系的适宜性、充分性和有效性。</w:t>
            </w:r>
          </w:p>
        </w:tc>
        <w:tc>
          <w:tcPr>
            <w:tcW w:w="589"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1267" w:type="dxa"/>
          </w:tcPr>
          <w:p>
            <w:pPr>
              <w:adjustRightInd w:val="0"/>
              <w:snapToGrid w:val="0"/>
              <w:spacing w:line="320" w:lineRule="exact"/>
              <w:ind w:right="105" w:rightChars="5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员工的参与和协商</w:t>
            </w:r>
          </w:p>
          <w:p>
            <w:pPr>
              <w:adjustRightInd w:val="0"/>
              <w:snapToGrid w:val="0"/>
              <w:spacing w:line="320" w:lineRule="exact"/>
              <w:ind w:right="105" w:rightChars="5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b/>
                <w:bCs/>
                <w:color w:val="auto"/>
                <w:spacing w:val="-6"/>
                <w:sz w:val="21"/>
                <w:szCs w:val="21"/>
                <w:lang w:val="en-US" w:eastAsia="zh-CN"/>
              </w:rPr>
              <w:t>和安全事务代表访谈</w:t>
            </w:r>
          </w:p>
        </w:tc>
        <w:tc>
          <w:tcPr>
            <w:tcW w:w="742" w:type="dxa"/>
          </w:tcPr>
          <w:p>
            <w:pPr>
              <w:adjustRightInd w:val="0"/>
              <w:snapToGrid w:val="0"/>
              <w:spacing w:line="320" w:lineRule="exact"/>
              <w:ind w:right="105" w:rightChars="5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 xml:space="preserve">5.4 </w:t>
            </w:r>
          </w:p>
          <w:p>
            <w:pPr>
              <w:adjustRightInd w:val="0"/>
              <w:snapToGrid w:val="0"/>
              <w:spacing w:line="320" w:lineRule="exact"/>
              <w:ind w:right="105" w:rightChars="5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 xml:space="preserve"> </w:t>
            </w:r>
          </w:p>
        </w:tc>
        <w:tc>
          <w:tcPr>
            <w:tcW w:w="7211" w:type="dxa"/>
          </w:tcPr>
          <w:p>
            <w:pPr>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组织已经为参与和协商提供所需的机制、时间、培训和资源包括——设立了员工代表、员工协商小组、提供时间、培训、人力物力财力等方面的内容。及时提供获取清晰的，易于理解的有关职业健康安全管理体系相关的信息的渠道——设立意见建议箱、提供公司内部邮件处理系统并及时反馈；另经询问得知：不存在包括对工作人员的意见或建议未作出响应,语言或文字障碍、报复或者报复性的威胁、以及防碍或不利于员工参与的制度或实践的障碍和屏障，现场也未发现类似情况的发生。</w:t>
            </w:r>
          </w:p>
        </w:tc>
        <w:tc>
          <w:tcPr>
            <w:tcW w:w="589"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267" w:type="dxa"/>
          </w:tcPr>
          <w:p>
            <w:pPr>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企业相关资质变化情况、</w:t>
            </w:r>
          </w:p>
          <w:p>
            <w:pPr>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顾客的投诉、</w:t>
            </w:r>
          </w:p>
          <w:p>
            <w:pPr>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质量监督抽查情况、</w:t>
            </w:r>
          </w:p>
          <w:p>
            <w:pPr>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获证后认证证书标志使用情况、</w:t>
            </w:r>
          </w:p>
          <w:p>
            <w:pPr>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相关变化情况、</w:t>
            </w:r>
          </w:p>
          <w:p>
            <w:pPr>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任何变更情况、</w:t>
            </w:r>
          </w:p>
          <w:p>
            <w:pPr>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上次不符合的验证等</w:t>
            </w:r>
          </w:p>
        </w:tc>
        <w:tc>
          <w:tcPr>
            <w:tcW w:w="742" w:type="dxa"/>
          </w:tcPr>
          <w:p>
            <w:pPr>
              <w:rPr>
                <w:rFonts w:hint="eastAsia" w:ascii="宋体" w:hAnsi="宋体" w:eastAsia="宋体" w:cs="Arial"/>
                <w:color w:val="auto"/>
                <w:spacing w:val="-6"/>
                <w:sz w:val="21"/>
                <w:szCs w:val="21"/>
                <w:lang w:val="en-US" w:eastAsia="zh-CN"/>
              </w:rPr>
            </w:pPr>
          </w:p>
        </w:tc>
        <w:tc>
          <w:tcPr>
            <w:tcW w:w="7211" w:type="dxa"/>
          </w:tcPr>
          <w:p>
            <w:pPr>
              <w:rPr>
                <w:rFonts w:hint="eastAsia"/>
                <w:lang w:val="en-US" w:eastAsia="zh-CN"/>
              </w:rPr>
            </w:pPr>
            <w:r>
              <w:rPr>
                <w:rFonts w:hint="eastAsia"/>
                <w:lang w:val="en-US" w:eastAsia="zh-CN"/>
              </w:rPr>
              <w:t>查相关资质无变化；</w:t>
            </w:r>
          </w:p>
          <w:p>
            <w:pPr>
              <w:rPr>
                <w:rFonts w:hint="eastAsia"/>
                <w:lang w:val="en-US" w:eastAsia="zh-CN"/>
              </w:rPr>
            </w:pPr>
            <w:r>
              <w:rPr>
                <w:rFonts w:hint="eastAsia"/>
                <w:lang w:val="en-US" w:eastAsia="zh-CN"/>
              </w:rPr>
              <w:t>未见顾客投诉情况；</w:t>
            </w:r>
          </w:p>
          <w:p>
            <w:pPr>
              <w:rPr>
                <w:rFonts w:hint="default"/>
                <w:lang w:val="en-US" w:eastAsia="zh-CN"/>
              </w:rPr>
            </w:pPr>
            <w:r>
              <w:rPr>
                <w:rFonts w:hint="eastAsia"/>
                <w:lang w:val="en-US" w:eastAsia="zh-CN"/>
              </w:rPr>
              <w:t>提供《“3C” 试验报告》（编号D000620-Q-02038-034610#）、日期2020.5.27.、涉及产品型号“HR-1400、1400W、1600、1600W、1800、1800W、2000、2000W 220V~50HZ”、结论合格；另提供《安全型式试验报告》（49页）、日期2020.5.27.、结论有效；</w:t>
            </w:r>
          </w:p>
          <w:p>
            <w:pPr>
              <w:rPr>
                <w:rFonts w:hint="eastAsia"/>
                <w:lang w:val="en-US" w:eastAsia="zh-CN"/>
              </w:rPr>
            </w:pPr>
            <w:r>
              <w:rPr>
                <w:rFonts w:hint="eastAsia"/>
                <w:lang w:val="en-US" w:eastAsia="zh-CN"/>
              </w:rPr>
              <w:t>证书标志使用符合规定；</w:t>
            </w:r>
          </w:p>
          <w:p>
            <w:pPr>
              <w:rPr>
                <w:rFonts w:hint="eastAsia" w:ascii="Times New Roman" w:hAnsi="Times New Roman" w:eastAsia="宋体" w:cs="Times New Roman"/>
                <w:szCs w:val="22"/>
                <w:lang w:val="en-US" w:eastAsia="zh-CN"/>
              </w:rPr>
            </w:pPr>
            <w:r>
              <w:rPr>
                <w:rFonts w:hint="eastAsia"/>
                <w:lang w:val="en-US" w:eastAsia="zh-CN"/>
              </w:rPr>
              <w:t>体系无任何变更；</w:t>
            </w:r>
          </w:p>
          <w:p>
            <w:pPr>
              <w:rPr>
                <w:rFonts w:hint="default"/>
                <w:lang w:val="en-US" w:eastAsia="zh-CN"/>
              </w:rPr>
            </w:pPr>
            <w:r>
              <w:rPr>
                <w:rFonts w:hint="eastAsia" w:ascii="Times New Roman" w:hAnsi="Times New Roman" w:eastAsia="宋体" w:cs="Times New Roman"/>
                <w:szCs w:val="22"/>
                <w:lang w:val="en-US" w:eastAsia="zh-CN"/>
              </w:rPr>
              <w:t>上次不符合一项“未对应急预案评审”、查提供“相关培训信息”、并对预案进行了评审、纠正措施有效、不符合关闭；</w:t>
            </w:r>
          </w:p>
        </w:tc>
        <w:tc>
          <w:tcPr>
            <w:tcW w:w="589" w:type="dxa"/>
          </w:tcPr>
          <w:p>
            <w:pPr>
              <w:rPr>
                <w:rFonts w:hint="eastAsia" w:eastAsia="宋体"/>
                <w:lang w:val="en-US" w:eastAsia="zh-CN"/>
              </w:rPr>
            </w:pPr>
            <w:r>
              <w:rPr>
                <w:rFonts w:hint="eastAsia"/>
                <w:lang w:val="en-US" w:eastAsia="zh-CN"/>
              </w:rPr>
              <w:t>y</w:t>
            </w:r>
          </w:p>
        </w:tc>
      </w:tr>
    </w:tbl>
    <w:p>
      <w:r>
        <w:ptab w:relativeTo="margin" w:alignment="center" w:leader="none"/>
      </w:r>
    </w:p>
    <w:p/>
    <w:p/>
    <w:tbl>
      <w:tblPr>
        <w:tblStyle w:val="8"/>
        <w:tblpPr w:leftFromText="180" w:rightFromText="180" w:vertAnchor="text" w:horzAnchor="page" w:tblpX="1232" w:tblpY="199"/>
        <w:tblOverlap w:val="never"/>
        <w:tblW w:w="99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830"/>
        <w:gridCol w:w="7532"/>
        <w:gridCol w:w="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08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830" w:type="dxa"/>
            <w:vMerge w:val="restart"/>
            <w:vAlign w:val="center"/>
          </w:tcPr>
          <w:p>
            <w:pPr>
              <w:rPr>
                <w:sz w:val="24"/>
                <w:szCs w:val="24"/>
              </w:rPr>
            </w:pPr>
            <w:r>
              <w:rPr>
                <w:rFonts w:hint="eastAsia"/>
                <w:sz w:val="24"/>
                <w:szCs w:val="24"/>
              </w:rPr>
              <w:t>涉及</w:t>
            </w:r>
          </w:p>
          <w:p>
            <w:r>
              <w:rPr>
                <w:rFonts w:hint="eastAsia"/>
                <w:sz w:val="24"/>
                <w:szCs w:val="24"/>
              </w:rPr>
              <w:t>条款</w:t>
            </w:r>
          </w:p>
        </w:tc>
        <w:tc>
          <w:tcPr>
            <w:tcW w:w="7532" w:type="dxa"/>
            <w:vAlign w:val="center"/>
          </w:tcPr>
          <w:p>
            <w:pPr>
              <w:rPr>
                <w:rFonts w:hint="eastAsia" w:ascii="Times New Roman" w:hAnsi="Times New Roman" w:cs="Times New Roman"/>
                <w:sz w:val="24"/>
                <w:szCs w:val="24"/>
                <w:lang w:val="en-US" w:eastAsia="zh-CN"/>
              </w:rPr>
            </w:pPr>
            <w:r>
              <w:rPr>
                <w:rFonts w:hint="eastAsia"/>
                <w:sz w:val="24"/>
                <w:szCs w:val="24"/>
              </w:rPr>
              <w:t>受审核部门：</w:t>
            </w:r>
            <w:r>
              <w:rPr>
                <w:rFonts w:hint="eastAsia"/>
                <w:sz w:val="24"/>
                <w:szCs w:val="24"/>
                <w:lang w:val="en-US" w:eastAsia="zh-CN"/>
              </w:rPr>
              <w:t>质检部</w:t>
            </w:r>
            <w:r>
              <w:rPr>
                <w:rFonts w:hint="eastAsia" w:ascii="Times New Roman" w:hAnsi="Times New Roman" w:cs="Times New Roman"/>
                <w:sz w:val="24"/>
                <w:szCs w:val="24"/>
              </w:rPr>
              <w:t xml:space="preserve">     主管领导：</w:t>
            </w:r>
            <w:r>
              <w:rPr>
                <w:rFonts w:hint="eastAsia"/>
                <w:sz w:val="24"/>
                <w:szCs w:val="24"/>
                <w:lang w:val="en-US" w:eastAsia="zh-CN"/>
              </w:rPr>
              <w:t>王春来、</w:t>
            </w:r>
          </w:p>
          <w:p>
            <w:pPr>
              <w:rPr>
                <w:sz w:val="24"/>
                <w:szCs w:val="24"/>
              </w:rPr>
            </w:pPr>
            <w:r>
              <w:rPr>
                <w:rFonts w:hint="eastAsia" w:ascii="Times New Roman" w:hAnsi="Times New Roman" w:cs="Times New Roman"/>
                <w:sz w:val="24"/>
                <w:szCs w:val="24"/>
              </w:rPr>
              <w:t>陪同人员：</w:t>
            </w:r>
            <w:r>
              <w:rPr>
                <w:rFonts w:hint="eastAsia" w:cs="Times New Roman"/>
                <w:sz w:val="24"/>
                <w:szCs w:val="24"/>
                <w:lang w:val="en-US" w:eastAsia="zh-CN"/>
              </w:rPr>
              <w:t>李阳</w:t>
            </w:r>
          </w:p>
        </w:tc>
        <w:tc>
          <w:tcPr>
            <w:tcW w:w="553"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080" w:type="dxa"/>
            <w:vMerge w:val="continue"/>
            <w:vAlign w:val="center"/>
          </w:tcPr>
          <w:p/>
        </w:tc>
        <w:tc>
          <w:tcPr>
            <w:tcW w:w="830" w:type="dxa"/>
            <w:vMerge w:val="continue"/>
            <w:vAlign w:val="center"/>
          </w:tcPr>
          <w:p/>
        </w:tc>
        <w:tc>
          <w:tcPr>
            <w:tcW w:w="7532"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姜小清</w:t>
            </w:r>
            <w:r>
              <w:rPr>
                <w:rFonts w:hint="eastAsia"/>
                <w:sz w:val="24"/>
                <w:szCs w:val="24"/>
              </w:rPr>
              <w:t xml:space="preserve"> </w:t>
            </w:r>
            <w:r>
              <w:rPr>
                <w:sz w:val="24"/>
                <w:szCs w:val="24"/>
              </w:rPr>
              <w:t xml:space="preserve">             </w:t>
            </w:r>
            <w:r>
              <w:rPr>
                <w:rFonts w:hint="eastAsia"/>
                <w:sz w:val="24"/>
                <w:szCs w:val="24"/>
              </w:rPr>
              <w:t>审核时间：</w:t>
            </w:r>
            <w:r>
              <w:rPr>
                <w:rFonts w:hint="eastAsia"/>
                <w:sz w:val="24"/>
                <w:szCs w:val="24"/>
                <w:lang w:val="en-US" w:eastAsia="zh-CN"/>
              </w:rPr>
              <w:t>2020.10.17</w:t>
            </w:r>
          </w:p>
        </w:tc>
        <w:tc>
          <w:tcPr>
            <w:tcW w:w="553"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080" w:type="dxa"/>
            <w:vMerge w:val="continue"/>
            <w:vAlign w:val="center"/>
          </w:tcPr>
          <w:p/>
        </w:tc>
        <w:tc>
          <w:tcPr>
            <w:tcW w:w="830" w:type="dxa"/>
            <w:vMerge w:val="continue"/>
            <w:vAlign w:val="center"/>
          </w:tcPr>
          <w:p/>
        </w:tc>
        <w:tc>
          <w:tcPr>
            <w:tcW w:w="7532" w:type="dxa"/>
            <w:vAlign w:val="center"/>
          </w:tcPr>
          <w:p>
            <w:pPr>
              <w:keepNext w:val="0"/>
              <w:keepLines w:val="0"/>
              <w:pageBreakBefore w:val="0"/>
              <w:widowControl w:val="0"/>
              <w:kinsoku/>
              <w:wordWrap/>
              <w:overflowPunct/>
              <w:topLinePunct w:val="0"/>
              <w:autoSpaceDE/>
              <w:autoSpaceDN/>
              <w:bidi w:val="0"/>
              <w:spacing w:line="260" w:lineRule="exact"/>
              <w:textAlignment w:val="auto"/>
              <w:rPr>
                <w:rFonts w:hint="eastAsia"/>
                <w:sz w:val="24"/>
                <w:szCs w:val="24"/>
              </w:rPr>
            </w:pPr>
            <w:r>
              <w:rPr>
                <w:rFonts w:hint="eastAsia"/>
                <w:sz w:val="24"/>
                <w:szCs w:val="24"/>
              </w:rPr>
              <w:t xml:space="preserve">审核条款： </w:t>
            </w:r>
          </w:p>
          <w:p>
            <w:pPr>
              <w:keepNext w:val="0"/>
              <w:keepLines w:val="0"/>
              <w:pageBreakBefore w:val="0"/>
              <w:widowControl w:val="0"/>
              <w:kinsoku/>
              <w:wordWrap/>
              <w:overflowPunct/>
              <w:topLinePunct w:val="0"/>
              <w:autoSpaceDE/>
              <w:autoSpaceDN/>
              <w:bidi w:val="0"/>
              <w:spacing w:line="260" w:lineRule="exact"/>
              <w:textAlignment w:val="auto"/>
              <w:rPr>
                <w:rFonts w:hint="eastAsia"/>
                <w:sz w:val="21"/>
                <w:szCs w:val="21"/>
              </w:rPr>
            </w:pPr>
            <w:r>
              <w:rPr>
                <w:rFonts w:hint="eastAsia"/>
                <w:sz w:val="21"/>
                <w:szCs w:val="21"/>
              </w:rPr>
              <w:t>组织的岗位、职责权限</w:t>
            </w:r>
            <w:r>
              <w:rPr>
                <w:rFonts w:hint="eastAsia"/>
                <w:sz w:val="21"/>
                <w:szCs w:val="21"/>
                <w:lang w:val="en-US" w:eastAsia="zh-CN"/>
              </w:rPr>
              <w:t>；管理</w:t>
            </w:r>
            <w:r>
              <w:rPr>
                <w:rFonts w:hint="eastAsia"/>
                <w:sz w:val="21"/>
                <w:szCs w:val="21"/>
              </w:rPr>
              <w:t>目标</w:t>
            </w:r>
            <w:r>
              <w:rPr>
                <w:rFonts w:hint="eastAsia"/>
                <w:sz w:val="21"/>
                <w:szCs w:val="21"/>
                <w:lang w:val="en-US" w:eastAsia="zh-CN"/>
              </w:rPr>
              <w:t>执行情况</w:t>
            </w:r>
            <w:r>
              <w:rPr>
                <w:rFonts w:hint="eastAsia"/>
                <w:sz w:val="21"/>
                <w:szCs w:val="21"/>
              </w:rPr>
              <w:t>；环境因素、危险源辨识、风险评价和控制措施的确定；应急准备和响应</w:t>
            </w:r>
          </w:p>
          <w:p>
            <w:pPr>
              <w:keepNext w:val="0"/>
              <w:keepLines w:val="0"/>
              <w:pageBreakBefore w:val="0"/>
              <w:widowControl w:val="0"/>
              <w:kinsoku/>
              <w:wordWrap/>
              <w:overflowPunct/>
              <w:topLinePunct w:val="0"/>
              <w:autoSpaceDE/>
              <w:autoSpaceDN/>
              <w:bidi w:val="0"/>
              <w:spacing w:line="260" w:lineRule="exact"/>
              <w:textAlignment w:val="auto"/>
              <w:rPr>
                <w:sz w:val="24"/>
                <w:szCs w:val="24"/>
              </w:rPr>
            </w:pPr>
            <w:r>
              <w:rPr>
                <w:rFonts w:hint="eastAsia"/>
                <w:sz w:val="21"/>
                <w:szCs w:val="21"/>
              </w:rPr>
              <w:t>E</w:t>
            </w:r>
            <w:r>
              <w:rPr>
                <w:rFonts w:hint="eastAsia"/>
                <w:sz w:val="21"/>
                <w:szCs w:val="21"/>
                <w:lang w:val="en-US" w:eastAsia="zh-CN"/>
              </w:rPr>
              <w:t>O</w:t>
            </w:r>
            <w:r>
              <w:rPr>
                <w:rFonts w:hint="eastAsia"/>
                <w:sz w:val="21"/>
                <w:szCs w:val="21"/>
              </w:rPr>
              <w:t>5.3/6.1.2/6.2/8.1/8.2</w:t>
            </w:r>
          </w:p>
        </w:tc>
        <w:tc>
          <w:tcPr>
            <w:tcW w:w="553"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080" w:type="dxa"/>
            <w:vAlign w:val="center"/>
          </w:tcPr>
          <w:p>
            <w:r>
              <w:rPr>
                <w:rFonts w:hint="eastAsia" w:ascii="Times New Roman" w:hAnsi="Times New Roman"/>
                <w:sz w:val="21"/>
                <w:szCs w:val="21"/>
              </w:rPr>
              <w:t>组织的岗位、职责权限</w:t>
            </w:r>
          </w:p>
        </w:tc>
        <w:tc>
          <w:tcPr>
            <w:tcW w:w="830" w:type="dxa"/>
            <w:vAlign w:val="center"/>
          </w:tcPr>
          <w:p>
            <w:r>
              <w:rPr>
                <w:rFonts w:hint="eastAsia" w:ascii="Times New Roman" w:hAnsi="Times New Roman"/>
                <w:sz w:val="21"/>
                <w:szCs w:val="21"/>
                <w:lang w:val="en-US" w:eastAsia="zh-CN"/>
              </w:rPr>
              <w:t>E</w:t>
            </w:r>
            <w:r>
              <w:rPr>
                <w:rFonts w:hint="eastAsia"/>
                <w:sz w:val="21"/>
                <w:szCs w:val="21"/>
                <w:lang w:val="en-US" w:eastAsia="zh-CN"/>
              </w:rPr>
              <w:t>O</w:t>
            </w:r>
            <w:r>
              <w:rPr>
                <w:rFonts w:hint="eastAsia" w:ascii="Times New Roman" w:hAnsi="Times New Roman"/>
                <w:sz w:val="21"/>
                <w:szCs w:val="21"/>
                <w:lang w:val="en-US" w:eastAsia="zh-CN"/>
              </w:rPr>
              <w:t>5.3</w:t>
            </w:r>
          </w:p>
        </w:tc>
        <w:tc>
          <w:tcPr>
            <w:tcW w:w="7532" w:type="dxa"/>
            <w:vAlign w:val="center"/>
          </w:tcPr>
          <w:p>
            <w:pPr>
              <w:rPr>
                <w:rFonts w:hint="eastAsia" w:ascii="Times New Roman" w:hAnsi="Times New Roman" w:eastAsia="宋体" w:cs="Times New Roman"/>
                <w:sz w:val="21"/>
                <w:szCs w:val="21"/>
                <w:lang w:val="en-US" w:eastAsia="zh-CN"/>
              </w:rPr>
            </w:pPr>
            <w:r>
              <w:rPr>
                <w:rFonts w:hint="eastAsia" w:ascii="Times New Roman" w:hAnsi="Times New Roman" w:cs="Times New Roman"/>
                <w:sz w:val="21"/>
                <w:szCs w:val="21"/>
              </w:rPr>
              <w:t>质检部</w:t>
            </w:r>
            <w:r>
              <w:rPr>
                <w:rFonts w:hint="eastAsia" w:cs="Times New Roman"/>
                <w:sz w:val="21"/>
                <w:szCs w:val="21"/>
                <w:lang w:val="en-US" w:eastAsia="zh-CN"/>
              </w:rPr>
              <w:t>职责：</w:t>
            </w:r>
          </w:p>
          <w:p>
            <w:pPr>
              <w:rPr>
                <w:rFonts w:hint="eastAsia" w:ascii="Times New Roman" w:hAnsi="Times New Roman" w:cs="Times New Roman"/>
                <w:sz w:val="21"/>
                <w:szCs w:val="21"/>
              </w:rPr>
            </w:pPr>
            <w:r>
              <w:rPr>
                <w:rFonts w:hint="eastAsia" w:ascii="Times New Roman" w:hAnsi="Times New Roman" w:cs="Times New Roman"/>
                <w:sz w:val="21"/>
                <w:szCs w:val="21"/>
                <w:lang w:val="en-US" w:eastAsia="zh-CN"/>
              </w:rPr>
              <w:t>1</w:t>
            </w:r>
            <w:r>
              <w:rPr>
                <w:rFonts w:hint="eastAsia" w:ascii="Times New Roman" w:hAnsi="Times New Roman" w:cs="Times New Roman"/>
                <w:sz w:val="21"/>
                <w:szCs w:val="21"/>
              </w:rPr>
              <w:t>）负责技术档案的管理和技术文件的修改；</w:t>
            </w:r>
          </w:p>
          <w:p>
            <w:pPr>
              <w:rPr>
                <w:rFonts w:hint="eastAsia" w:ascii="Times New Roman" w:hAnsi="Times New Roman" w:cs="Times New Roman"/>
                <w:sz w:val="21"/>
                <w:szCs w:val="21"/>
              </w:rPr>
            </w:pPr>
            <w:r>
              <w:rPr>
                <w:rFonts w:hint="eastAsia" w:ascii="Times New Roman" w:hAnsi="Times New Roman" w:cs="Times New Roman"/>
                <w:sz w:val="21"/>
                <w:szCs w:val="21"/>
                <w:lang w:val="en-US" w:eastAsia="zh-CN"/>
              </w:rPr>
              <w:t>2</w:t>
            </w:r>
            <w:r>
              <w:rPr>
                <w:rFonts w:hint="eastAsia" w:ascii="Times New Roman" w:hAnsi="Times New Roman" w:cs="Times New Roman"/>
                <w:sz w:val="21"/>
                <w:szCs w:val="21"/>
              </w:rPr>
              <w:t>）参与不合格品评审、产品确认及技术培训；</w:t>
            </w:r>
          </w:p>
          <w:p>
            <w:pPr>
              <w:rPr>
                <w:rFonts w:hint="eastAsia" w:ascii="Times New Roman" w:hAnsi="Times New Roman" w:cs="Times New Roman"/>
                <w:sz w:val="21"/>
                <w:szCs w:val="21"/>
              </w:rPr>
            </w:pPr>
            <w:r>
              <w:rPr>
                <w:rFonts w:hint="eastAsia" w:ascii="Times New Roman" w:hAnsi="Times New Roman" w:cs="Times New Roman"/>
                <w:sz w:val="21"/>
                <w:szCs w:val="21"/>
                <w:lang w:val="en-US" w:eastAsia="zh-CN"/>
              </w:rPr>
              <w:t>3</w:t>
            </w:r>
            <w:r>
              <w:rPr>
                <w:rFonts w:hint="eastAsia" w:ascii="Times New Roman" w:hAnsi="Times New Roman" w:cs="Times New Roman"/>
                <w:sz w:val="21"/>
                <w:szCs w:val="21"/>
              </w:rPr>
              <w:t>）负责技术档案的管理和技术文件的修改；</w:t>
            </w:r>
          </w:p>
          <w:p>
            <w:pPr>
              <w:rPr>
                <w:rFonts w:hint="eastAsia" w:ascii="Times New Roman" w:hAnsi="Times New Roman" w:cs="Times New Roman"/>
                <w:sz w:val="21"/>
                <w:szCs w:val="21"/>
              </w:rPr>
            </w:pPr>
            <w:r>
              <w:rPr>
                <w:rFonts w:hint="eastAsia" w:ascii="Times New Roman" w:hAnsi="Times New Roman" w:cs="Times New Roman"/>
                <w:sz w:val="21"/>
                <w:szCs w:val="21"/>
                <w:lang w:val="en-US" w:eastAsia="zh-CN"/>
              </w:rPr>
              <w:t>4</w:t>
            </w:r>
            <w:r>
              <w:rPr>
                <w:rFonts w:hint="eastAsia" w:ascii="Times New Roman" w:hAnsi="Times New Roman" w:cs="Times New Roman"/>
                <w:sz w:val="21"/>
                <w:szCs w:val="21"/>
              </w:rPr>
              <w:t>）负责对购进产品及生产过程、最终产品的检验和试验；</w:t>
            </w:r>
          </w:p>
          <w:p>
            <w:pPr>
              <w:rPr>
                <w:rFonts w:hint="eastAsia" w:ascii="Times New Roman" w:hAnsi="Times New Roman" w:cs="Times New Roman"/>
                <w:sz w:val="21"/>
                <w:szCs w:val="21"/>
              </w:rPr>
            </w:pPr>
            <w:r>
              <w:rPr>
                <w:rFonts w:hint="eastAsia" w:ascii="Times New Roman" w:hAnsi="Times New Roman" w:cs="Times New Roman"/>
                <w:sz w:val="21"/>
                <w:szCs w:val="21"/>
                <w:lang w:val="en-US" w:eastAsia="zh-CN"/>
              </w:rPr>
              <w:t>5</w:t>
            </w:r>
            <w:r>
              <w:rPr>
                <w:rFonts w:hint="eastAsia" w:ascii="Times New Roman" w:hAnsi="Times New Roman" w:cs="Times New Roman"/>
                <w:sz w:val="21"/>
                <w:szCs w:val="21"/>
              </w:rPr>
              <w:t>）负责外协厂的管理工作，严格生产过程控制，确保产品符合质量要求；</w:t>
            </w:r>
          </w:p>
          <w:p>
            <w:pPr>
              <w:rPr>
                <w:rFonts w:hint="eastAsia" w:ascii="Times New Roman" w:hAnsi="Times New Roman" w:cs="Times New Roman"/>
                <w:sz w:val="21"/>
                <w:szCs w:val="21"/>
              </w:rPr>
            </w:pPr>
            <w:r>
              <w:rPr>
                <w:rFonts w:hint="eastAsia" w:ascii="Times New Roman" w:hAnsi="Times New Roman" w:cs="Times New Roman"/>
                <w:sz w:val="21"/>
                <w:szCs w:val="21"/>
                <w:lang w:val="en-US" w:eastAsia="zh-CN"/>
              </w:rPr>
              <w:t>6</w:t>
            </w:r>
            <w:r>
              <w:rPr>
                <w:rFonts w:hint="eastAsia" w:ascii="Times New Roman" w:hAnsi="Times New Roman" w:cs="Times New Roman"/>
                <w:sz w:val="21"/>
                <w:szCs w:val="21"/>
              </w:rPr>
              <w:t>）负责对不合格产品的评定和处理；</w:t>
            </w:r>
          </w:p>
          <w:p>
            <w:pPr>
              <w:rPr>
                <w:rFonts w:hint="eastAsia" w:ascii="Times New Roman" w:hAnsi="Times New Roman" w:cs="Times New Roman"/>
                <w:sz w:val="21"/>
                <w:szCs w:val="21"/>
              </w:rPr>
            </w:pPr>
            <w:r>
              <w:rPr>
                <w:rFonts w:hint="eastAsia" w:ascii="Times New Roman" w:hAnsi="Times New Roman" w:cs="Times New Roman"/>
                <w:sz w:val="21"/>
                <w:szCs w:val="21"/>
                <w:lang w:val="en-US" w:eastAsia="zh-CN"/>
              </w:rPr>
              <w:t>7</w:t>
            </w:r>
            <w:r>
              <w:rPr>
                <w:rFonts w:hint="eastAsia" w:ascii="Times New Roman" w:hAnsi="Times New Roman" w:cs="Times New Roman"/>
                <w:sz w:val="21"/>
                <w:szCs w:val="21"/>
              </w:rPr>
              <w:t>）负责收集各种信息、对不合格要进行分析、要找出问题科学措施；</w:t>
            </w:r>
          </w:p>
          <w:p>
            <w:pPr>
              <w:rPr>
                <w:rFonts w:hint="eastAsia" w:ascii="Times New Roman" w:hAnsi="Times New Roman" w:cs="Times New Roman"/>
                <w:sz w:val="21"/>
                <w:szCs w:val="21"/>
              </w:rPr>
            </w:pPr>
            <w:r>
              <w:rPr>
                <w:rFonts w:hint="eastAsia" w:ascii="Times New Roman" w:hAnsi="Times New Roman" w:cs="Times New Roman"/>
                <w:sz w:val="21"/>
                <w:szCs w:val="21"/>
                <w:lang w:val="en-US" w:eastAsia="zh-CN"/>
              </w:rPr>
              <w:t>8</w:t>
            </w:r>
            <w:r>
              <w:rPr>
                <w:rFonts w:hint="eastAsia" w:ascii="Times New Roman" w:hAnsi="Times New Roman" w:cs="Times New Roman"/>
                <w:sz w:val="21"/>
                <w:szCs w:val="21"/>
              </w:rPr>
              <w:t>）找出预防措施，做好持续改进工作。</w:t>
            </w:r>
          </w:p>
          <w:p>
            <w:pPr>
              <w:rPr>
                <w:rFonts w:hint="eastAsia" w:ascii="Times New Roman" w:hAnsi="Times New Roman" w:cs="Times New Roman"/>
                <w:sz w:val="21"/>
                <w:szCs w:val="21"/>
              </w:rPr>
            </w:pPr>
            <w:r>
              <w:rPr>
                <w:rFonts w:hint="eastAsia" w:ascii="Times New Roman" w:hAnsi="Times New Roman" w:cs="Times New Roman"/>
                <w:sz w:val="21"/>
                <w:szCs w:val="21"/>
                <w:lang w:val="en-US" w:eastAsia="zh-CN"/>
              </w:rPr>
              <w:t>9</w:t>
            </w:r>
            <w:r>
              <w:rPr>
                <w:rFonts w:hint="eastAsia" w:ascii="Times New Roman" w:hAnsi="Times New Roman" w:cs="Times New Roman"/>
                <w:sz w:val="21"/>
                <w:szCs w:val="21"/>
              </w:rPr>
              <w:t>）合理利用资源，采取措施降低产品成本；</w:t>
            </w:r>
          </w:p>
          <w:p>
            <w:pPr>
              <w:rPr>
                <w:rFonts w:hint="eastAsia" w:ascii="Times New Roman" w:hAnsi="Times New Roman" w:cs="Times New Roman"/>
                <w:sz w:val="21"/>
                <w:szCs w:val="21"/>
              </w:rPr>
            </w:pPr>
            <w:r>
              <w:rPr>
                <w:rFonts w:hint="eastAsia" w:ascii="Times New Roman" w:hAnsi="Times New Roman" w:cs="Times New Roman"/>
                <w:sz w:val="21"/>
                <w:szCs w:val="21"/>
                <w:lang w:val="en-US" w:eastAsia="zh-CN"/>
              </w:rPr>
              <w:t>环境\职业健康安全管理目标，控制重要环境因素、不可控风险，做好预防污染和预防伤亡事故工作；</w:t>
            </w:r>
          </w:p>
          <w:p>
            <w:pPr>
              <w:rPr>
                <w:rFonts w:hint="eastAsia" w:ascii="Times New Roman" w:hAnsi="Times New Roman" w:cs="Times New Roman"/>
                <w:sz w:val="21"/>
                <w:szCs w:val="21"/>
              </w:rPr>
            </w:pPr>
            <w:r>
              <w:rPr>
                <w:rFonts w:hint="eastAsia" w:ascii="Times New Roman" w:hAnsi="Times New Roman" w:cs="Times New Roman"/>
                <w:sz w:val="21"/>
                <w:szCs w:val="21"/>
                <w:lang w:val="en-US" w:eastAsia="zh-CN"/>
              </w:rPr>
              <w:t>现场交流：</w:t>
            </w:r>
            <w:r>
              <w:rPr>
                <w:rFonts w:hint="eastAsia" w:ascii="Times New Roman" w:hAnsi="Times New Roman" w:cs="Times New Roman"/>
                <w:sz w:val="21"/>
                <w:szCs w:val="21"/>
              </w:rPr>
              <w:t>部门负责人对本部门的职责和权限以及工作流程清楚、明确完成本部门的目标指标。</w:t>
            </w:r>
          </w:p>
        </w:tc>
        <w:tc>
          <w:tcPr>
            <w:tcW w:w="553" w:type="dxa"/>
          </w:tcPr>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080" w:type="dxa"/>
            <w:vAlign w:val="center"/>
          </w:tcPr>
          <w:p>
            <w:pPr>
              <w:rPr>
                <w:rFonts w:hint="eastAsia" w:ascii="Times New Roman" w:hAnsi="Times New Roman"/>
                <w:sz w:val="21"/>
                <w:szCs w:val="21"/>
              </w:rPr>
            </w:pPr>
            <w:r>
              <w:rPr>
                <w:rFonts w:hint="eastAsia"/>
                <w:sz w:val="21"/>
                <w:szCs w:val="21"/>
              </w:rPr>
              <w:t>环境因素</w:t>
            </w:r>
            <w:r>
              <w:rPr>
                <w:rFonts w:hint="eastAsia"/>
                <w:sz w:val="21"/>
                <w:szCs w:val="21"/>
                <w:lang w:eastAsia="zh-CN"/>
              </w:rPr>
              <w:t>、</w:t>
            </w:r>
            <w:r>
              <w:rPr>
                <w:rFonts w:hint="eastAsia"/>
                <w:sz w:val="21"/>
                <w:szCs w:val="21"/>
                <w:lang w:val="en-US" w:eastAsia="zh-CN"/>
              </w:rPr>
              <w:t>危险源识别</w:t>
            </w:r>
            <w:r>
              <w:rPr>
                <w:rFonts w:hint="eastAsia"/>
                <w:sz w:val="21"/>
                <w:szCs w:val="21"/>
              </w:rPr>
              <w:t>评价和控制措施的确定</w:t>
            </w:r>
          </w:p>
        </w:tc>
        <w:tc>
          <w:tcPr>
            <w:tcW w:w="830" w:type="dxa"/>
            <w:vAlign w:val="center"/>
          </w:tcPr>
          <w:p>
            <w:pPr>
              <w:rPr>
                <w:rFonts w:hint="eastAsia"/>
                <w:sz w:val="21"/>
                <w:szCs w:val="21"/>
                <w:lang w:val="en-US" w:eastAsia="zh-CN"/>
              </w:rPr>
            </w:pPr>
            <w:r>
              <w:rPr>
                <w:rFonts w:hint="eastAsia"/>
                <w:sz w:val="21"/>
                <w:szCs w:val="21"/>
              </w:rPr>
              <w:t>E</w:t>
            </w:r>
            <w:r>
              <w:rPr>
                <w:rFonts w:hint="eastAsia"/>
                <w:sz w:val="21"/>
                <w:szCs w:val="21"/>
                <w:lang w:val="en-US" w:eastAsia="zh-CN"/>
              </w:rPr>
              <w:t>O</w:t>
            </w:r>
          </w:p>
          <w:p>
            <w:pPr>
              <w:rPr>
                <w:rFonts w:hint="eastAsia"/>
                <w:sz w:val="21"/>
                <w:szCs w:val="21"/>
                <w:lang w:val="en-US" w:eastAsia="zh-CN"/>
              </w:rPr>
            </w:pPr>
            <w:r>
              <w:rPr>
                <w:rFonts w:hint="eastAsia"/>
                <w:sz w:val="21"/>
                <w:szCs w:val="21"/>
              </w:rPr>
              <w:t>6.1.2</w:t>
            </w:r>
          </w:p>
        </w:tc>
        <w:tc>
          <w:tcPr>
            <w:tcW w:w="7532" w:type="dxa"/>
            <w:vAlign w:val="center"/>
          </w:tcPr>
          <w:p>
            <w:pPr>
              <w:rPr>
                <w:rFonts w:hint="eastAsia" w:ascii="Times New Roman" w:hAnsi="Times New Roman" w:cs="Times New Roman"/>
                <w:sz w:val="21"/>
                <w:szCs w:val="21"/>
                <w:lang w:val="en-US" w:eastAsia="zh-CN"/>
              </w:rPr>
            </w:pPr>
            <w:r>
              <w:rPr>
                <w:rFonts w:hint="eastAsia" w:ascii="Times New Roman" w:hAnsi="Times New Roman" w:cs="Times New Roman"/>
                <w:sz w:val="21"/>
                <w:szCs w:val="21"/>
              </w:rPr>
              <w:t>本部门活动主要是</w:t>
            </w:r>
            <w:r>
              <w:rPr>
                <w:rFonts w:hint="eastAsia" w:cs="Times New Roman"/>
                <w:sz w:val="21"/>
                <w:szCs w:val="21"/>
                <w:lang w:val="en-US" w:eastAsia="zh-CN"/>
              </w:rPr>
              <w:t>对销售的产品进行质检工作。</w:t>
            </w:r>
            <w:r>
              <w:rPr>
                <w:rFonts w:hint="eastAsia" w:ascii="Times New Roman" w:hAnsi="Times New Roman" w:cs="Times New Roman"/>
                <w:sz w:val="21"/>
                <w:szCs w:val="21"/>
                <w:lang w:val="en-US" w:eastAsia="zh-CN"/>
              </w:rPr>
              <w:t>；</w:t>
            </w:r>
          </w:p>
          <w:p>
            <w:pPr>
              <w:rPr>
                <w:rFonts w:hint="eastAsia" w:ascii="Times New Roman" w:hAnsi="Times New Roman" w:cs="Times New Roman"/>
                <w:sz w:val="21"/>
                <w:szCs w:val="21"/>
              </w:rPr>
            </w:pPr>
            <w:r>
              <w:rPr>
                <w:rFonts w:hint="eastAsia" w:ascii="Times New Roman" w:hAnsi="Times New Roman" w:cs="Times New Roman"/>
                <w:sz w:val="21"/>
                <w:szCs w:val="21"/>
              </w:rPr>
              <w:t>提供《环境因素识别与评价表》：</w:t>
            </w:r>
          </w:p>
          <w:p>
            <w:pPr>
              <w:rPr>
                <w:rFonts w:hint="eastAsia"/>
                <w:sz w:val="21"/>
                <w:szCs w:val="21"/>
              </w:rPr>
            </w:pPr>
            <w:r>
              <w:rPr>
                <w:rFonts w:hint="eastAsia" w:ascii="Times New Roman" w:hAnsi="Times New Roman" w:cs="Times New Roman"/>
                <w:sz w:val="21"/>
                <w:szCs w:val="21"/>
              </w:rPr>
              <w:t>能的消耗；</w:t>
            </w:r>
            <w:r>
              <w:rPr>
                <w:rFonts w:hint="eastAsia"/>
                <w:sz w:val="21"/>
                <w:szCs w:val="21"/>
              </w:rPr>
              <w:t>潜再火灾的发生等。</w:t>
            </w:r>
          </w:p>
          <w:p>
            <w:pPr>
              <w:rPr>
                <w:rFonts w:hint="eastAsia"/>
                <w:sz w:val="21"/>
                <w:szCs w:val="21"/>
              </w:rPr>
            </w:pPr>
            <w:r>
              <w:rPr>
                <w:rFonts w:hint="eastAsia"/>
                <w:sz w:val="21"/>
                <w:szCs w:val="21"/>
                <w:lang w:val="en-US" w:eastAsia="zh-CN"/>
              </w:rPr>
              <w:t>切割/折弯</w:t>
            </w:r>
            <w:r>
              <w:rPr>
                <w:rFonts w:hint="eastAsia"/>
                <w:sz w:val="21"/>
                <w:szCs w:val="21"/>
              </w:rPr>
              <w:t>作业：电能的消耗；噪声的排放；</w:t>
            </w:r>
            <w:r>
              <w:rPr>
                <w:rFonts w:hint="eastAsia"/>
                <w:sz w:val="21"/>
                <w:szCs w:val="21"/>
                <w:lang w:val="en-US" w:eastAsia="zh-CN"/>
              </w:rPr>
              <w:t>废下脚料</w:t>
            </w:r>
            <w:r>
              <w:rPr>
                <w:rFonts w:hint="eastAsia"/>
                <w:sz w:val="21"/>
                <w:szCs w:val="21"/>
              </w:rPr>
              <w:t>的排放等。</w:t>
            </w:r>
          </w:p>
          <w:p>
            <w:pPr>
              <w:rPr>
                <w:rFonts w:hint="eastAsia" w:ascii="Times New Roman" w:hAnsi="Times New Roman" w:cs="Times New Roman"/>
                <w:sz w:val="21"/>
                <w:szCs w:val="21"/>
              </w:rPr>
            </w:pPr>
            <w:r>
              <w:rPr>
                <w:rFonts w:hint="eastAsia" w:ascii="Times New Roman" w:hAnsi="Times New Roman" w:cs="Times New Roman"/>
                <w:sz w:val="21"/>
                <w:szCs w:val="21"/>
              </w:rPr>
              <w:t>设备维修作业：机器的报废；机油的泄露；配件的废弃等。</w:t>
            </w:r>
          </w:p>
          <w:p>
            <w:pP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提供了</w:t>
            </w:r>
            <w:r>
              <w:rPr>
                <w:rFonts w:hint="eastAsia" w:ascii="Times New Roman" w:hAnsi="Times New Roman" w:cs="Times New Roman"/>
                <w:sz w:val="21"/>
                <w:szCs w:val="21"/>
              </w:rPr>
              <w:t>《重要环境因素清单》</w:t>
            </w:r>
            <w:r>
              <w:rPr>
                <w:rFonts w:hint="eastAsia" w:cs="Times New Roman"/>
                <w:sz w:val="21"/>
                <w:szCs w:val="21"/>
                <w:lang w:val="en-US" w:eastAsia="zh-CN"/>
              </w:rPr>
              <w:t>2</w:t>
            </w:r>
            <w:r>
              <w:rPr>
                <w:rFonts w:hint="eastAsia" w:ascii="Times New Roman" w:hAnsi="Times New Roman" w:cs="Times New Roman"/>
                <w:sz w:val="21"/>
                <w:szCs w:val="21"/>
                <w:lang w:val="en-US" w:eastAsia="zh-CN"/>
              </w:rPr>
              <w:t>项、主要为</w:t>
            </w:r>
            <w:r>
              <w:rPr>
                <w:rFonts w:hint="eastAsia" w:ascii="Times New Roman" w:hAnsi="Times New Roman" w:cs="Times New Roman"/>
                <w:sz w:val="21"/>
                <w:szCs w:val="21"/>
                <w:lang w:eastAsia="zh-CN"/>
              </w:rPr>
              <w:t>“</w:t>
            </w:r>
            <w:r>
              <w:rPr>
                <w:rFonts w:hint="eastAsia" w:ascii="Times New Roman" w:hAnsi="Times New Roman" w:cs="Times New Roman"/>
                <w:sz w:val="21"/>
                <w:szCs w:val="21"/>
              </w:rPr>
              <w:t>固体废弃物排放、意外火灾的发生</w:t>
            </w:r>
            <w:r>
              <w:rPr>
                <w:rFonts w:hint="eastAsia" w:ascii="Times New Roman" w:hAnsi="Times New Roman" w:cs="Times New Roman"/>
                <w:sz w:val="21"/>
                <w:szCs w:val="21"/>
                <w:lang w:eastAsia="zh-CN"/>
              </w:rPr>
              <w:t>”</w:t>
            </w:r>
            <w:r>
              <w:rPr>
                <w:rFonts w:hint="eastAsia" w:ascii="Times New Roman" w:hAnsi="Times New Roman" w:cs="Times New Roman"/>
                <w:sz w:val="21"/>
                <w:szCs w:val="21"/>
              </w:rPr>
              <w:t>，有控制方法的相关内容，查环境因素识别基本符合实际情况，</w:t>
            </w:r>
            <w:r>
              <w:rPr>
                <w:rFonts w:hint="eastAsia" w:ascii="Times New Roman" w:hAnsi="Times New Roman" w:cs="Times New Roman"/>
                <w:sz w:val="21"/>
                <w:szCs w:val="21"/>
                <w:lang w:val="en-US" w:eastAsia="zh-CN"/>
              </w:rPr>
              <w:t>未见明显</w:t>
            </w:r>
            <w:r>
              <w:rPr>
                <w:rFonts w:hint="eastAsia" w:ascii="Times New Roman" w:hAnsi="Times New Roman" w:cs="Times New Roman"/>
                <w:sz w:val="21"/>
                <w:szCs w:val="21"/>
              </w:rPr>
              <w:t>遗漏</w:t>
            </w:r>
            <w:r>
              <w:rPr>
                <w:rFonts w:hint="eastAsia" w:ascii="Times New Roman" w:hAnsi="Times New Roman" w:cs="Times New Roman"/>
                <w:sz w:val="21"/>
                <w:szCs w:val="21"/>
                <w:lang w:val="en-US" w:eastAsia="zh-CN"/>
              </w:rPr>
              <w:t>、评价基本准确；查对应了风险和机遇中重要环境因素的相关信息、未见明显</w:t>
            </w:r>
            <w:r>
              <w:rPr>
                <w:rFonts w:hint="eastAsia" w:ascii="Times New Roman" w:hAnsi="Times New Roman" w:cs="Times New Roman"/>
                <w:sz w:val="21"/>
                <w:szCs w:val="21"/>
              </w:rPr>
              <w:t>遗漏</w:t>
            </w:r>
            <w:r>
              <w:rPr>
                <w:rFonts w:hint="eastAsia" w:ascii="Times New Roman" w:hAnsi="Times New Roman" w:cs="Times New Roman"/>
                <w:sz w:val="21"/>
                <w:szCs w:val="21"/>
                <w:lang w:eastAsia="zh-CN"/>
              </w:rPr>
              <w:t>，</w:t>
            </w:r>
            <w:r>
              <w:rPr>
                <w:rFonts w:hint="eastAsia" w:ascii="Times New Roman" w:hAnsi="Times New Roman" w:cs="Times New Roman"/>
                <w:sz w:val="21"/>
                <w:szCs w:val="21"/>
                <w:lang w:val="en-US" w:eastAsia="zh-CN"/>
              </w:rPr>
              <w:t>符合规定；</w:t>
            </w:r>
          </w:p>
          <w:p>
            <w:pP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上述文件有编审批、</w:t>
            </w:r>
            <w:r>
              <w:rPr>
                <w:rFonts w:hint="eastAsia" w:ascii="Times New Roman" w:hAnsi="Times New Roman" w:cs="Times New Roman"/>
                <w:sz w:val="21"/>
                <w:szCs w:val="21"/>
              </w:rPr>
              <w:t>更新日期</w:t>
            </w:r>
            <w:r>
              <w:rPr>
                <w:rFonts w:hint="eastAsia" w:ascii="Times New Roman" w:hAnsi="Times New Roman" w:cs="Times New Roman"/>
                <w:sz w:val="21"/>
                <w:szCs w:val="21"/>
                <w:lang w:val="en-US" w:eastAsia="zh-CN"/>
              </w:rPr>
              <w:t>2020.</w:t>
            </w:r>
            <w:r>
              <w:rPr>
                <w:rFonts w:hint="eastAsia" w:cs="Times New Roman"/>
                <w:sz w:val="21"/>
                <w:szCs w:val="21"/>
                <w:lang w:val="en-US" w:eastAsia="zh-CN"/>
              </w:rPr>
              <w:t>4.5</w:t>
            </w:r>
            <w:r>
              <w:rPr>
                <w:rFonts w:hint="eastAsia" w:ascii="Times New Roman" w:hAnsi="Times New Roman" w:cs="Times New Roman"/>
                <w:sz w:val="21"/>
                <w:szCs w:val="21"/>
                <w:lang w:val="en-US" w:eastAsia="zh-CN"/>
              </w:rPr>
              <w:t>；</w:t>
            </w:r>
          </w:p>
          <w:p>
            <w:pPr>
              <w:keepNext w:val="0"/>
              <w:keepLines w:val="0"/>
              <w:widowControl/>
              <w:suppressLineNumbers w:val="0"/>
              <w:jc w:val="left"/>
              <w:rPr>
                <w:rFonts w:hint="eastAsia" w:ascii="Times New Roman" w:hAnsi="Times New Roman" w:cs="Times New Roman"/>
                <w:sz w:val="21"/>
                <w:szCs w:val="21"/>
                <w:lang w:eastAsia="zh-CN"/>
              </w:rPr>
            </w:pPr>
            <w:r>
              <w:rPr>
                <w:rFonts w:hint="eastAsia" w:ascii="Times New Roman" w:hAnsi="Times New Roman" w:cs="Times New Roman"/>
                <w:sz w:val="21"/>
                <w:szCs w:val="21"/>
              </w:rPr>
              <w:t>近一年来</w:t>
            </w:r>
            <w:r>
              <w:rPr>
                <w:rFonts w:hint="eastAsia" w:ascii="Times New Roman" w:hAnsi="Times New Roman" w:cs="Times New Roman"/>
                <w:sz w:val="21"/>
                <w:szCs w:val="21"/>
                <w:lang w:val="en-US" w:eastAsia="zh-CN"/>
              </w:rPr>
              <w:t>现场</w:t>
            </w:r>
            <w:r>
              <w:rPr>
                <w:rFonts w:hint="eastAsia" w:ascii="Times New Roman" w:hAnsi="Times New Roman" w:cs="Times New Roman"/>
                <w:sz w:val="21"/>
                <w:szCs w:val="21"/>
              </w:rPr>
              <w:t>环境</w:t>
            </w:r>
            <w:r>
              <w:rPr>
                <w:rFonts w:hint="eastAsia" w:ascii="Times New Roman" w:hAnsi="Times New Roman" w:cs="Times New Roman"/>
                <w:sz w:val="21"/>
                <w:szCs w:val="21"/>
                <w:lang w:val="en-US" w:eastAsia="zh-CN"/>
              </w:rPr>
              <w:t>基本</w:t>
            </w:r>
            <w:r>
              <w:rPr>
                <w:rFonts w:hint="eastAsia" w:ascii="Times New Roman" w:hAnsi="Times New Roman" w:cs="Times New Roman"/>
                <w:sz w:val="21"/>
                <w:szCs w:val="21"/>
              </w:rPr>
              <w:t>没有发生变化</w:t>
            </w:r>
            <w:r>
              <w:rPr>
                <w:rFonts w:hint="eastAsia" w:ascii="Times New Roman" w:hAnsi="Times New Roman" w:cs="Times New Roman"/>
                <w:sz w:val="21"/>
                <w:szCs w:val="21"/>
                <w:lang w:eastAsia="zh-CN"/>
              </w:rPr>
              <w:t>；</w:t>
            </w:r>
          </w:p>
          <w:p>
            <w:pPr>
              <w:keepNext w:val="0"/>
              <w:keepLines w:val="0"/>
              <w:widowControl/>
              <w:suppressLineNumbers w:val="0"/>
              <w:jc w:val="left"/>
              <w:rPr>
                <w:rFonts w:hint="eastAsia" w:ascii="Times New Roman" w:hAnsi="Times New Roman" w:cs="Times New Roman"/>
                <w:sz w:val="21"/>
                <w:szCs w:val="21"/>
                <w:lang w:eastAsia="zh-CN"/>
              </w:rPr>
            </w:pPr>
          </w:p>
          <w:p>
            <w:pPr>
              <w:rPr>
                <w:rFonts w:hint="eastAsia"/>
                <w:sz w:val="21"/>
                <w:szCs w:val="21"/>
                <w:lang w:val="en-US" w:eastAsia="zh-CN"/>
              </w:rPr>
            </w:pPr>
            <w:r>
              <w:rPr>
                <w:rFonts w:hint="eastAsia"/>
                <w:sz w:val="21"/>
                <w:szCs w:val="21"/>
                <w:lang w:val="en-US" w:eastAsia="zh-CN"/>
              </w:rPr>
              <w:t>提供了《危险源清评价表》，涉及生产技术部的危险源主要包括：</w:t>
            </w:r>
          </w:p>
          <w:p>
            <w:pPr>
              <w:rPr>
                <w:rFonts w:hint="eastAsia"/>
                <w:sz w:val="21"/>
                <w:szCs w:val="21"/>
                <w:lang w:val="en-US" w:eastAsia="zh-CN"/>
              </w:rPr>
            </w:pPr>
            <w:r>
              <w:rPr>
                <w:rFonts w:hint="eastAsia"/>
                <w:sz w:val="21"/>
                <w:szCs w:val="21"/>
                <w:lang w:val="en-US" w:eastAsia="zh-CN"/>
              </w:rPr>
              <w:t>班前准备：酒后上班，意识不清，引发伤害；带病工作引发伤害；不按规定穿戴工作服引发伤害；疲劳作业、触电等；</w:t>
            </w:r>
          </w:p>
          <w:p>
            <w:pPr>
              <w:rPr>
                <w:rFonts w:hint="eastAsia"/>
                <w:sz w:val="21"/>
                <w:szCs w:val="21"/>
                <w:lang w:val="en-US" w:eastAsia="zh-CN"/>
              </w:rPr>
            </w:pPr>
            <w:r>
              <w:rPr>
                <w:rFonts w:hint="eastAsia"/>
                <w:sz w:val="21"/>
                <w:szCs w:val="21"/>
                <w:lang w:val="en-US" w:eastAsia="zh-CN"/>
              </w:rPr>
              <w:t>设备维修作业：设备维修时误送电，导致触电；维修中未穿戴防护用品，导致触电；维修过程中的违章操作，导致机械伤害等。</w:t>
            </w:r>
          </w:p>
          <w:p>
            <w:pPr>
              <w:rPr>
                <w:rFonts w:hint="eastAsia"/>
                <w:sz w:val="21"/>
                <w:szCs w:val="21"/>
                <w:lang w:val="en-US" w:eastAsia="zh-CN"/>
              </w:rPr>
            </w:pPr>
            <w:r>
              <w:rPr>
                <w:rFonts w:hint="eastAsia"/>
                <w:sz w:val="21"/>
                <w:szCs w:val="21"/>
                <w:lang w:val="en-US" w:eastAsia="zh-CN"/>
              </w:rPr>
              <w:t>试验操作作业：负荷过载短路；线缆老化断/短路；电弧烧伤；非专业人员操作电暖器；违规操作等。</w:t>
            </w:r>
          </w:p>
          <w:p>
            <w:pP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对上述识别的危险源确定了相应的危害内容（机械、触电等）；</w:t>
            </w:r>
          </w:p>
          <w:p>
            <w:pP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采用LECD评价法、 评价出的“重大危险源”</w:t>
            </w:r>
            <w:r>
              <w:rPr>
                <w:rFonts w:hint="eastAsia" w:cs="Times New Roman"/>
                <w:sz w:val="21"/>
                <w:szCs w:val="21"/>
                <w:lang w:val="en-US" w:eastAsia="zh-CN"/>
              </w:rPr>
              <w:t>2</w:t>
            </w:r>
            <w:r>
              <w:rPr>
                <w:rFonts w:hint="eastAsia" w:ascii="Times New Roman" w:hAnsi="Times New Roman" w:cs="Times New Roman"/>
                <w:sz w:val="21"/>
                <w:szCs w:val="21"/>
                <w:lang w:val="en-US" w:eastAsia="zh-CN"/>
              </w:rPr>
              <w:t>项、具体为“火灾、触电”、查评价基本准确；</w:t>
            </w:r>
          </w:p>
          <w:p>
            <w:pP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控制措施包括“个人防护、培训教育、检查消除”等；</w:t>
            </w:r>
          </w:p>
          <w:p>
            <w:pP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文件有编审批更新日期2020.</w:t>
            </w:r>
            <w:r>
              <w:rPr>
                <w:rFonts w:hint="eastAsia" w:cs="Times New Roman"/>
                <w:sz w:val="21"/>
                <w:szCs w:val="21"/>
                <w:lang w:val="en-US" w:eastAsia="zh-CN"/>
              </w:rPr>
              <w:t>1.8</w:t>
            </w:r>
            <w:r>
              <w:rPr>
                <w:rFonts w:hint="eastAsia" w:ascii="Times New Roman" w:hAnsi="Times New Roman" w:cs="Times New Roman"/>
                <w:sz w:val="21"/>
                <w:szCs w:val="21"/>
                <w:lang w:val="en-US" w:eastAsia="zh-CN"/>
              </w:rPr>
              <w:t>.；</w:t>
            </w:r>
          </w:p>
          <w:p>
            <w:pPr>
              <w:keepNext w:val="0"/>
              <w:keepLines w:val="0"/>
              <w:widowControl/>
              <w:suppressLineNumbers w:val="0"/>
              <w:jc w:val="left"/>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查近一年 场地环境没有变化；无新改扩建项目包括新设备引进等；</w:t>
            </w:r>
          </w:p>
        </w:tc>
        <w:tc>
          <w:tcPr>
            <w:tcW w:w="553" w:type="dxa"/>
          </w:tcPr>
          <w:p>
            <w:pPr>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1080" w:type="dxa"/>
            <w:vAlign w:val="center"/>
          </w:tcPr>
          <w:p>
            <w:r>
              <w:rPr>
                <w:rFonts w:hint="eastAsia" w:ascii="Times New Roman" w:hAnsi="Times New Roman"/>
                <w:sz w:val="21"/>
                <w:szCs w:val="21"/>
              </w:rPr>
              <w:t>目标</w:t>
            </w:r>
            <w:r>
              <w:rPr>
                <w:rFonts w:hint="eastAsia"/>
                <w:sz w:val="21"/>
                <w:szCs w:val="21"/>
                <w:lang w:eastAsia="zh-CN"/>
              </w:rPr>
              <w:t>和方案</w:t>
            </w:r>
          </w:p>
        </w:tc>
        <w:tc>
          <w:tcPr>
            <w:tcW w:w="830" w:type="dxa"/>
            <w:vAlign w:val="center"/>
          </w:tcPr>
          <w:p>
            <w:pPr>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E</w:t>
            </w:r>
            <w:r>
              <w:rPr>
                <w:rFonts w:hint="eastAsia"/>
                <w:sz w:val="21"/>
                <w:szCs w:val="21"/>
                <w:lang w:val="en-US" w:eastAsia="zh-CN"/>
              </w:rPr>
              <w:t>O</w:t>
            </w:r>
            <w:r>
              <w:rPr>
                <w:rFonts w:hint="eastAsia" w:ascii="Times New Roman" w:hAnsi="Times New Roman"/>
                <w:sz w:val="21"/>
                <w:szCs w:val="21"/>
                <w:lang w:val="en-US" w:eastAsia="zh-CN"/>
              </w:rPr>
              <w:t>6.2</w:t>
            </w:r>
          </w:p>
          <w:p/>
        </w:tc>
        <w:tc>
          <w:tcPr>
            <w:tcW w:w="7532" w:type="dxa"/>
            <w:vAlign w:val="center"/>
          </w:tcPr>
          <w:p>
            <w:pP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编制了《环境、职业健康安全目标、指标和管理方案》具体：</w:t>
            </w:r>
          </w:p>
          <w:p>
            <w:pPr>
              <w:rPr>
                <w:rFonts w:hint="eastAsia"/>
                <w:color w:val="auto"/>
                <w:szCs w:val="22"/>
                <w:lang w:val="en-US" w:eastAsia="zh-CN"/>
              </w:rPr>
            </w:pPr>
            <w:r>
              <w:rPr>
                <w:rFonts w:hint="eastAsia"/>
                <w:color w:val="auto"/>
                <w:szCs w:val="22"/>
                <w:u w:val="single"/>
                <w:lang w:eastAsia="zh-CN"/>
              </w:rPr>
              <w:t>环境目标</w:t>
            </w:r>
            <w:r>
              <w:rPr>
                <w:rFonts w:hint="eastAsia"/>
                <w:color w:val="auto"/>
                <w:szCs w:val="22"/>
                <w:u w:val="single"/>
                <w:lang w:val="en-US" w:eastAsia="zh-CN"/>
              </w:rPr>
              <w:t>指标</w:t>
            </w:r>
            <w:r>
              <w:rPr>
                <w:rFonts w:hint="eastAsia"/>
                <w:color w:val="auto"/>
                <w:szCs w:val="22"/>
                <w:lang w:eastAsia="zh-CN"/>
              </w:rPr>
              <w:t>：废弃物100%实现分类存放，合理处置。杜绝发生重大污染事故。厂界噪声执行</w:t>
            </w:r>
            <w:r>
              <w:rPr>
                <w:rFonts w:hint="eastAsia"/>
                <w:color w:val="auto"/>
                <w:szCs w:val="22"/>
                <w:lang w:val="en-US" w:eastAsia="zh-CN"/>
              </w:rPr>
              <w:t>达标排放；</w:t>
            </w:r>
          </w:p>
          <w:p>
            <w:pPr>
              <w:rPr>
                <w:rFonts w:hint="eastAsia" w:ascii="Times New Roman" w:hAnsi="Times New Roman"/>
                <w:sz w:val="21"/>
                <w:szCs w:val="21"/>
              </w:rPr>
            </w:pPr>
            <w:r>
              <w:rPr>
                <w:rFonts w:hint="eastAsia" w:ascii="Times New Roman" w:hAnsi="Times New Roman"/>
                <w:sz w:val="21"/>
                <w:szCs w:val="21"/>
                <w:u w:val="single"/>
              </w:rPr>
              <w:t>安全目标</w:t>
            </w:r>
            <w:r>
              <w:rPr>
                <w:rFonts w:hint="eastAsia" w:ascii="Times New Roman" w:hAnsi="Times New Roman"/>
                <w:sz w:val="21"/>
                <w:szCs w:val="21"/>
                <w:u w:val="single"/>
                <w:lang w:val="en-US" w:eastAsia="zh-CN"/>
              </w:rPr>
              <w:t>目标指标</w:t>
            </w:r>
            <w:r>
              <w:rPr>
                <w:rFonts w:hint="eastAsia" w:ascii="Times New Roman" w:hAnsi="Times New Roman"/>
                <w:sz w:val="21"/>
                <w:szCs w:val="21"/>
              </w:rPr>
              <w:t>：火灾、</w:t>
            </w:r>
            <w:r>
              <w:rPr>
                <w:rFonts w:hint="eastAsia"/>
                <w:sz w:val="21"/>
                <w:szCs w:val="21"/>
                <w:lang w:val="en-US" w:eastAsia="zh-CN"/>
              </w:rPr>
              <w:t>触电、</w:t>
            </w:r>
            <w:r>
              <w:rPr>
                <w:rFonts w:hint="eastAsia" w:ascii="Times New Roman" w:hAnsi="Times New Roman"/>
                <w:sz w:val="21"/>
                <w:szCs w:val="21"/>
              </w:rPr>
              <w:t>重大伤亡事故</w:t>
            </w:r>
            <w:r>
              <w:rPr>
                <w:rFonts w:hint="eastAsia"/>
                <w:sz w:val="21"/>
                <w:szCs w:val="21"/>
                <w:lang w:val="en-US" w:eastAsia="zh-CN"/>
              </w:rPr>
              <w:t>0，</w:t>
            </w:r>
            <w:r>
              <w:rPr>
                <w:rFonts w:hint="eastAsia"/>
                <w:color w:val="auto"/>
                <w:szCs w:val="22"/>
                <w:lang w:eastAsia="zh-CN"/>
              </w:rPr>
              <w:t>轻伤每年不超过3起，</w:t>
            </w:r>
            <w:r>
              <w:rPr>
                <w:rFonts w:hint="eastAsia"/>
                <w:color w:val="auto"/>
                <w:szCs w:val="22"/>
                <w:lang w:val="en-US" w:eastAsia="zh-CN"/>
              </w:rPr>
              <w:t>职业病发生率0</w:t>
            </w:r>
            <w:r>
              <w:rPr>
                <w:rFonts w:hint="eastAsia" w:ascii="Times New Roman" w:hAnsi="Times New Roman"/>
                <w:sz w:val="21"/>
                <w:szCs w:val="21"/>
              </w:rPr>
              <w:t>。</w:t>
            </w:r>
          </w:p>
          <w:p>
            <w:pPr>
              <w:rPr>
                <w:rFonts w:hint="eastAsia" w:ascii="Times New Roman" w:hAnsi="Times New Roman" w:cs="Times New Roman"/>
                <w:sz w:val="21"/>
                <w:szCs w:val="21"/>
              </w:rPr>
            </w:pPr>
            <w:r>
              <w:rPr>
                <w:rFonts w:hint="eastAsia" w:ascii="Times New Roman" w:hAnsi="Times New Roman"/>
                <w:sz w:val="21"/>
                <w:szCs w:val="21"/>
              </w:rPr>
              <w:t>按照季度进行考核，提供了</w:t>
            </w:r>
            <w:r>
              <w:rPr>
                <w:rFonts w:hint="eastAsia" w:ascii="Times New Roman" w:hAnsi="Times New Roman"/>
                <w:sz w:val="21"/>
                <w:szCs w:val="21"/>
                <w:lang w:eastAsia="zh-CN"/>
              </w:rPr>
              <w:t>《</w:t>
            </w:r>
            <w:r>
              <w:rPr>
                <w:rFonts w:hint="eastAsia" w:ascii="Times New Roman" w:hAnsi="Times New Roman"/>
                <w:sz w:val="21"/>
                <w:szCs w:val="21"/>
                <w:lang w:val="en-US" w:eastAsia="zh-CN"/>
              </w:rPr>
              <w:t>2020</w:t>
            </w:r>
            <w:r>
              <w:rPr>
                <w:rFonts w:hint="eastAsia" w:ascii="Times New Roman" w:hAnsi="Times New Roman"/>
                <w:sz w:val="21"/>
                <w:szCs w:val="21"/>
              </w:rPr>
              <w:t>年</w:t>
            </w:r>
            <w:r>
              <w:rPr>
                <w:rFonts w:hint="eastAsia" w:ascii="Times New Roman" w:hAnsi="Times New Roman"/>
                <w:sz w:val="21"/>
                <w:szCs w:val="21"/>
                <w:lang w:val="en-US" w:eastAsia="zh-CN"/>
              </w:rPr>
              <w:t>1~</w:t>
            </w:r>
            <w:r>
              <w:rPr>
                <w:rFonts w:hint="eastAsia"/>
                <w:sz w:val="21"/>
                <w:szCs w:val="21"/>
                <w:lang w:val="en-US" w:eastAsia="zh-CN"/>
              </w:rPr>
              <w:t>3</w:t>
            </w:r>
            <w:r>
              <w:rPr>
                <w:rFonts w:hint="eastAsia" w:ascii="Times New Roman" w:hAnsi="Times New Roman"/>
                <w:sz w:val="21"/>
                <w:szCs w:val="21"/>
              </w:rPr>
              <w:t>季度目标考核表</w:t>
            </w:r>
            <w:r>
              <w:rPr>
                <w:rFonts w:hint="eastAsia" w:ascii="Times New Roman" w:hAnsi="Times New Roman"/>
                <w:sz w:val="21"/>
                <w:szCs w:val="21"/>
                <w:lang w:eastAsia="zh-CN"/>
              </w:rPr>
              <w:t>》</w:t>
            </w:r>
            <w:r>
              <w:rPr>
                <w:rFonts w:hint="eastAsia" w:ascii="Times New Roman" w:hAnsi="Times New Roman"/>
                <w:sz w:val="21"/>
                <w:szCs w:val="21"/>
              </w:rPr>
              <w:t>：</w:t>
            </w:r>
            <w:r>
              <w:rPr>
                <w:rFonts w:hint="eastAsia"/>
                <w:color w:val="auto"/>
                <w:szCs w:val="22"/>
                <w:lang w:eastAsia="zh-CN"/>
              </w:rPr>
              <w:t>废弃物100%实现分类存放，</w:t>
            </w:r>
            <w:r>
              <w:rPr>
                <w:rFonts w:hint="eastAsia"/>
                <w:sz w:val="21"/>
                <w:szCs w:val="21"/>
              </w:rPr>
              <w:t>噪声达标排放昼间≤6</w:t>
            </w:r>
            <w:r>
              <w:rPr>
                <w:rFonts w:hint="eastAsia"/>
                <w:sz w:val="21"/>
                <w:szCs w:val="21"/>
                <w:lang w:val="en-US" w:eastAsia="zh-CN"/>
              </w:rPr>
              <w:t>5</w:t>
            </w:r>
            <w:r>
              <w:rPr>
                <w:rFonts w:hint="eastAsia"/>
                <w:sz w:val="21"/>
                <w:szCs w:val="21"/>
              </w:rPr>
              <w:t>dB,夜间≤5</w:t>
            </w:r>
            <w:r>
              <w:rPr>
                <w:rFonts w:hint="eastAsia"/>
                <w:sz w:val="21"/>
                <w:szCs w:val="21"/>
                <w:lang w:val="en-US" w:eastAsia="zh-CN"/>
              </w:rPr>
              <w:t>5</w:t>
            </w:r>
            <w:r>
              <w:rPr>
                <w:rFonts w:hint="eastAsia"/>
                <w:sz w:val="21"/>
                <w:szCs w:val="21"/>
              </w:rPr>
              <w:t>dB</w:t>
            </w:r>
            <w:r>
              <w:rPr>
                <w:rFonts w:hint="eastAsia"/>
                <w:sz w:val="21"/>
                <w:szCs w:val="21"/>
                <w:lang w:eastAsia="zh-CN"/>
              </w:rPr>
              <w:t>、</w:t>
            </w:r>
            <w:r>
              <w:rPr>
                <w:rFonts w:hint="eastAsia"/>
                <w:color w:val="auto"/>
                <w:szCs w:val="22"/>
                <w:lang w:val="en-US" w:eastAsia="zh-CN"/>
              </w:rPr>
              <w:t>无污染事故，</w:t>
            </w:r>
            <w:r>
              <w:rPr>
                <w:rFonts w:hint="eastAsia" w:ascii="Times New Roman" w:hAnsi="Times New Roman"/>
                <w:sz w:val="21"/>
                <w:szCs w:val="21"/>
              </w:rPr>
              <w:t>无火灾、</w:t>
            </w:r>
            <w:r>
              <w:rPr>
                <w:rFonts w:hint="eastAsia"/>
                <w:sz w:val="21"/>
                <w:szCs w:val="21"/>
                <w:lang w:val="en-US" w:eastAsia="zh-CN"/>
              </w:rPr>
              <w:t>触电、</w:t>
            </w:r>
            <w:r>
              <w:rPr>
                <w:rFonts w:hint="eastAsia" w:ascii="Times New Roman" w:hAnsi="Times New Roman"/>
                <w:sz w:val="21"/>
                <w:szCs w:val="21"/>
              </w:rPr>
              <w:t>重大伤亡</w:t>
            </w:r>
            <w:r>
              <w:rPr>
                <w:rFonts w:hint="eastAsia"/>
                <w:sz w:val="21"/>
                <w:szCs w:val="21"/>
                <w:lang w:eastAsia="zh-CN"/>
              </w:rPr>
              <w:t>、</w:t>
            </w:r>
            <w:r>
              <w:rPr>
                <w:rFonts w:hint="eastAsia"/>
                <w:sz w:val="21"/>
                <w:szCs w:val="21"/>
                <w:lang w:val="en-US" w:eastAsia="zh-CN"/>
              </w:rPr>
              <w:t>轻伤</w:t>
            </w:r>
            <w:r>
              <w:rPr>
                <w:rFonts w:hint="eastAsia" w:ascii="Times New Roman" w:hAnsi="Times New Roman"/>
                <w:sz w:val="21"/>
                <w:szCs w:val="21"/>
              </w:rPr>
              <w:t>事故</w:t>
            </w:r>
            <w:r>
              <w:rPr>
                <w:rFonts w:hint="eastAsia"/>
                <w:sz w:val="21"/>
                <w:szCs w:val="21"/>
                <w:lang w:eastAsia="zh-CN"/>
              </w:rPr>
              <w:t>，</w:t>
            </w:r>
            <w:r>
              <w:rPr>
                <w:rFonts w:hint="eastAsia"/>
                <w:sz w:val="21"/>
                <w:szCs w:val="21"/>
                <w:lang w:val="en-US" w:eastAsia="zh-CN"/>
              </w:rPr>
              <w:t>无职业病—</w:t>
            </w:r>
            <w:r>
              <w:rPr>
                <w:rFonts w:hint="eastAsia" w:ascii="Times New Roman" w:hAnsi="Times New Roman" w:cs="Times New Roman"/>
                <w:sz w:val="21"/>
                <w:szCs w:val="21"/>
                <w:lang w:val="en-US" w:eastAsia="zh-CN"/>
              </w:rPr>
              <w:t>—</w:t>
            </w:r>
            <w:r>
              <w:rPr>
                <w:rFonts w:hint="eastAsia" w:ascii="Times New Roman" w:hAnsi="Times New Roman" w:cs="Times New Roman"/>
                <w:sz w:val="21"/>
                <w:szCs w:val="21"/>
              </w:rPr>
              <w:t>目标均已完成。</w:t>
            </w:r>
          </w:p>
          <w:p>
            <w:pP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提供环境和安全的实现《环境和职业健康安全目标指标方案和计划表》、包括时间表、措施、责任人——查基本符合规定；文件有编审批受控、更新日期2020.1.；</w:t>
            </w:r>
          </w:p>
          <w:p>
            <w:pP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另查2019年环境和职业健康安全目标指标完成情况符合要求；</w:t>
            </w:r>
          </w:p>
        </w:tc>
        <w:tc>
          <w:tcPr>
            <w:tcW w:w="553" w:type="dxa"/>
          </w:tcPr>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r>
              <w:rPr>
                <w:rFonts w:hint="eastAsia"/>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80" w:type="dxa"/>
            <w:vAlign w:val="center"/>
          </w:tcPr>
          <w:p>
            <w:r>
              <w:rPr>
                <w:rFonts w:hint="eastAsia"/>
                <w:sz w:val="21"/>
                <w:szCs w:val="21"/>
                <w:lang w:val="en-US" w:eastAsia="zh-CN"/>
              </w:rPr>
              <w:t>运行控制</w:t>
            </w:r>
          </w:p>
        </w:tc>
        <w:tc>
          <w:tcPr>
            <w:tcW w:w="830" w:type="dxa"/>
            <w:vAlign w:val="center"/>
          </w:tcPr>
          <w:p>
            <w:pPr>
              <w:rPr>
                <w:rFonts w:hint="eastAsia"/>
                <w:sz w:val="21"/>
                <w:szCs w:val="21"/>
                <w:lang w:val="en-US" w:eastAsia="zh-CN"/>
              </w:rPr>
            </w:pPr>
            <w:r>
              <w:rPr>
                <w:rFonts w:hint="eastAsia"/>
                <w:sz w:val="21"/>
                <w:szCs w:val="21"/>
                <w:lang w:val="en-US" w:eastAsia="zh-CN"/>
              </w:rPr>
              <w:t>EO8.1</w:t>
            </w:r>
          </w:p>
          <w:p/>
        </w:tc>
        <w:tc>
          <w:tcPr>
            <w:tcW w:w="7532" w:type="dxa"/>
            <w:vAlign w:val="center"/>
          </w:tcPr>
          <w:p>
            <w:pPr>
              <w:rPr>
                <w:rFonts w:hint="eastAsia" w:ascii="Times New Roman" w:hAnsi="Times New Roman" w:cs="Times New Roman"/>
                <w:sz w:val="21"/>
                <w:szCs w:val="21"/>
                <w:lang w:eastAsia="zh-CN"/>
              </w:rPr>
            </w:pPr>
            <w:r>
              <w:rPr>
                <w:rFonts w:hint="eastAsia"/>
                <w:sz w:val="21"/>
                <w:szCs w:val="21"/>
                <w:lang w:eastAsia="zh-CN"/>
              </w:rPr>
              <w:t>本部门应执行的运行控制文件包括：运行控制程</w:t>
            </w:r>
            <w:r>
              <w:rPr>
                <w:rFonts w:hint="eastAsia"/>
                <w:sz w:val="21"/>
                <w:szCs w:val="21"/>
                <w:u w:val="single"/>
                <w:lang w:eastAsia="zh-CN"/>
              </w:rPr>
              <w:t>序/安全</w:t>
            </w:r>
            <w:r>
              <w:rPr>
                <w:rFonts w:hint="eastAsia"/>
                <w:sz w:val="21"/>
                <w:szCs w:val="21"/>
                <w:u w:val="single"/>
                <w:lang w:val="en-US" w:eastAsia="zh-CN"/>
              </w:rPr>
              <w:t>生产</w:t>
            </w:r>
            <w:r>
              <w:rPr>
                <w:rFonts w:hint="eastAsia"/>
                <w:sz w:val="21"/>
                <w:szCs w:val="21"/>
                <w:u w:val="single"/>
                <w:lang w:eastAsia="zh-CN"/>
              </w:rPr>
              <w:t>制度/职业卫生管理制</w:t>
            </w:r>
            <w:r>
              <w:rPr>
                <w:rFonts w:hint="eastAsia"/>
                <w:sz w:val="21"/>
                <w:szCs w:val="21"/>
                <w:lang w:eastAsia="zh-CN"/>
              </w:rPr>
              <w:t>度</w:t>
            </w:r>
            <w:r>
              <w:rPr>
                <w:rFonts w:hint="eastAsia" w:ascii="Times New Roman" w:hAnsi="Times New Roman" w:cs="Times New Roman"/>
                <w:sz w:val="21"/>
                <w:szCs w:val="21"/>
                <w:lang w:eastAsia="zh-CN"/>
              </w:rPr>
              <w:t>、《</w:t>
            </w:r>
            <w:r>
              <w:rPr>
                <w:rFonts w:hint="eastAsia" w:cs="Times New Roman"/>
                <w:sz w:val="21"/>
                <w:szCs w:val="21"/>
                <w:lang w:val="en-US" w:eastAsia="zh-CN"/>
              </w:rPr>
              <w:t>质检</w:t>
            </w:r>
            <w:r>
              <w:rPr>
                <w:rFonts w:hint="eastAsia" w:ascii="Times New Roman" w:hAnsi="Times New Roman" w:cs="Times New Roman"/>
                <w:sz w:val="21"/>
                <w:szCs w:val="21"/>
              </w:rPr>
              <w:t>设备操作规范汇编</w:t>
            </w:r>
            <w:r>
              <w:rPr>
                <w:rFonts w:hint="eastAsia" w:ascii="Times New Roman" w:hAnsi="Times New Roman" w:cs="Times New Roman"/>
                <w:sz w:val="21"/>
                <w:szCs w:val="21"/>
                <w:lang w:eastAsia="zh-CN"/>
              </w:rPr>
              <w:t>》等；</w:t>
            </w:r>
          </w:p>
          <w:p>
            <w:pPr>
              <w:rPr>
                <w:rFonts w:hint="eastAsia" w:ascii="Times New Roman" w:hAnsi="Times New Roman" w:cs="Times New Roman"/>
                <w:sz w:val="21"/>
                <w:szCs w:val="21"/>
                <w:lang w:eastAsia="zh-CN"/>
              </w:rPr>
            </w:pPr>
            <w:r>
              <w:rPr>
                <w:rFonts w:hint="eastAsia" w:ascii="Times New Roman" w:hAnsi="Times New Roman" w:cs="Times New Roman"/>
                <w:sz w:val="21"/>
                <w:szCs w:val="21"/>
                <w:lang w:eastAsia="zh-CN"/>
              </w:rPr>
              <w:t>运行控制情况：</w:t>
            </w:r>
          </w:p>
          <w:p>
            <w:pPr>
              <w:rPr>
                <w:rFonts w:hint="eastAsia" w:ascii="Times New Roman" w:hAnsi="Times New Roman" w:cs="Times New Roman"/>
                <w:sz w:val="21"/>
                <w:szCs w:val="21"/>
              </w:rPr>
            </w:pPr>
            <w:r>
              <w:rPr>
                <w:rFonts w:hint="eastAsia" w:ascii="Times New Roman" w:hAnsi="Times New Roman" w:cs="Times New Roman"/>
                <w:sz w:val="21"/>
                <w:szCs w:val="21"/>
                <w:lang w:val="en-US" w:eastAsia="zh-CN"/>
              </w:rPr>
              <w:t>运行控制——</w:t>
            </w:r>
            <w:r>
              <w:rPr>
                <w:rFonts w:hint="eastAsia" w:cs="Times New Roman"/>
                <w:sz w:val="21"/>
                <w:szCs w:val="21"/>
                <w:lang w:val="en-US" w:eastAsia="zh-CN"/>
              </w:rPr>
              <w:t>检验</w:t>
            </w:r>
            <w:r>
              <w:rPr>
                <w:rFonts w:hint="eastAsia" w:ascii="Times New Roman" w:hAnsi="Times New Roman" w:cs="Times New Roman"/>
                <w:sz w:val="21"/>
                <w:szCs w:val="21"/>
              </w:rPr>
              <w:t>过程中使用设备有</w:t>
            </w:r>
            <w:r>
              <w:rPr>
                <w:rFonts w:hint="eastAsia" w:cs="Times New Roman"/>
                <w:sz w:val="21"/>
                <w:szCs w:val="21"/>
                <w:lang w:val="en-US" w:eastAsia="zh-CN"/>
              </w:rPr>
              <w:t>耐压测试仪、漏电试验机</w:t>
            </w:r>
            <w:r>
              <w:rPr>
                <w:rFonts w:hint="eastAsia" w:ascii="Times New Roman" w:hAnsi="Times New Roman" w:cs="Times New Roman"/>
                <w:sz w:val="21"/>
                <w:szCs w:val="21"/>
              </w:rPr>
              <w:t>等。</w:t>
            </w:r>
          </w:p>
          <w:p>
            <w:pPr>
              <w:rPr>
                <w:rFonts w:hint="eastAsia"/>
                <w:sz w:val="21"/>
                <w:szCs w:val="21"/>
              </w:rPr>
            </w:pPr>
            <w:r>
              <w:rPr>
                <w:rFonts w:hint="eastAsia"/>
                <w:sz w:val="21"/>
                <w:szCs w:val="21"/>
                <w:lang w:val="en-US" w:eastAsia="zh-CN"/>
              </w:rPr>
              <w:t>基本没有重要的环境因素</w:t>
            </w:r>
            <w:r>
              <w:rPr>
                <w:rFonts w:hint="eastAsia"/>
                <w:sz w:val="21"/>
                <w:szCs w:val="21"/>
              </w:rPr>
              <w:t>，目前使用情况良好。</w:t>
            </w:r>
          </w:p>
          <w:p>
            <w:pPr>
              <w:rPr>
                <w:rFonts w:hint="eastAsia"/>
                <w:sz w:val="21"/>
                <w:szCs w:val="21"/>
                <w:lang w:val="en-US" w:eastAsia="zh-CN"/>
              </w:rPr>
            </w:pPr>
            <w:r>
              <w:rPr>
                <w:rFonts w:hint="eastAsia"/>
                <w:sz w:val="21"/>
                <w:szCs w:val="21"/>
                <w:lang w:val="en-US" w:eastAsia="zh-CN"/>
              </w:rPr>
              <w:t>能源消耗运行控制——</w:t>
            </w:r>
            <w:r>
              <w:rPr>
                <w:rFonts w:hint="eastAsia"/>
                <w:sz w:val="21"/>
                <w:szCs w:val="21"/>
              </w:rPr>
              <w:t>办公过程注意节约用电，做到人走灯灭，电脑长时间不用时关机，下班前要关闭电源；办公过程产生的固废按办公室要求放到指定地点，现场查看无混放现象；办公用品按要求由办公室负责发放；</w:t>
            </w:r>
          </w:p>
          <w:p>
            <w:pPr>
              <w:rPr>
                <w:rFonts w:hint="eastAsia"/>
                <w:sz w:val="21"/>
                <w:szCs w:val="21"/>
              </w:rPr>
            </w:pPr>
            <w:r>
              <w:rPr>
                <w:rFonts w:hint="eastAsia"/>
                <w:sz w:val="21"/>
                <w:szCs w:val="21"/>
                <w:lang w:val="en-US" w:eastAsia="zh-CN"/>
              </w:rPr>
              <w:t>固废排放控制——</w:t>
            </w:r>
            <w:r>
              <w:rPr>
                <w:rFonts w:hint="eastAsia"/>
                <w:sz w:val="21"/>
                <w:szCs w:val="21"/>
              </w:rPr>
              <w:t>过程中固废包括废原料/废原材料包装袋/废机油/废棉纱等，进行了分类存放，按可回收和不可回收分别放置，设置分类标识。其中罐装工序产生的废物料，收集后自行使用；生产过程中的废包装袋，定期按照可回收垃圾处理；</w:t>
            </w:r>
          </w:p>
          <w:p>
            <w:pPr>
              <w:rPr>
                <w:rFonts w:hint="eastAsia" w:cs="Times New Roman"/>
                <w:sz w:val="21"/>
                <w:szCs w:val="21"/>
                <w:lang w:eastAsia="zh-CN"/>
              </w:rPr>
            </w:pPr>
            <w:r>
              <w:rPr>
                <w:rFonts w:hint="eastAsia"/>
                <w:sz w:val="21"/>
                <w:szCs w:val="21"/>
                <w:lang w:val="en-US" w:eastAsia="zh-CN"/>
              </w:rPr>
              <w:t>质检</w:t>
            </w:r>
            <w:r>
              <w:rPr>
                <w:rFonts w:hint="eastAsia"/>
                <w:sz w:val="21"/>
                <w:szCs w:val="21"/>
              </w:rPr>
              <w:t>过程中</w:t>
            </w:r>
            <w:r>
              <w:rPr>
                <w:rFonts w:hint="eastAsia"/>
                <w:sz w:val="21"/>
                <w:szCs w:val="21"/>
                <w:u w:val="single"/>
              </w:rPr>
              <w:t>的危险固废</w:t>
            </w:r>
            <w:r>
              <w:rPr>
                <w:rFonts w:hint="eastAsia"/>
                <w:sz w:val="21"/>
                <w:szCs w:val="21"/>
                <w:u w:val="single"/>
                <w:lang w:val="en-US" w:eastAsia="zh-CN"/>
              </w:rPr>
              <w:t>控制</w:t>
            </w:r>
            <w:r>
              <w:rPr>
                <w:rFonts w:hint="eastAsia"/>
                <w:sz w:val="21"/>
                <w:szCs w:val="21"/>
                <w:lang w:eastAsia="zh-CN"/>
              </w:rPr>
              <w:t>——</w:t>
            </w:r>
            <w:r>
              <w:rPr>
                <w:rFonts w:hint="eastAsia"/>
                <w:sz w:val="21"/>
                <w:szCs w:val="21"/>
              </w:rPr>
              <w:t>废机油/废棉纱/活性炭</w:t>
            </w:r>
            <w:r>
              <w:rPr>
                <w:rFonts w:hint="eastAsia"/>
                <w:sz w:val="21"/>
                <w:szCs w:val="21"/>
                <w:lang w:eastAsia="zh-CN"/>
              </w:rPr>
              <w:t>、</w:t>
            </w:r>
            <w:r>
              <w:rPr>
                <w:rFonts w:hint="eastAsia"/>
                <w:sz w:val="21"/>
                <w:szCs w:val="21"/>
                <w:lang w:val="en-US" w:eastAsia="zh-CN"/>
              </w:rPr>
              <w:t>废油漆桶</w:t>
            </w:r>
            <w:r>
              <w:rPr>
                <w:rFonts w:hint="eastAsia"/>
                <w:sz w:val="21"/>
                <w:szCs w:val="21"/>
              </w:rPr>
              <w:t>等，单独分类存放，集中收集到一定数量时交有资质的单位</w:t>
            </w:r>
            <w:r>
              <w:rPr>
                <w:rFonts w:hint="eastAsia" w:ascii="Times New Roman" w:hAnsi="Times New Roman" w:cs="Times New Roman"/>
                <w:sz w:val="21"/>
                <w:szCs w:val="21"/>
              </w:rPr>
              <w:t>处置</w:t>
            </w:r>
            <w:r>
              <w:rPr>
                <w:rFonts w:hint="eastAsia" w:cs="Times New Roman"/>
                <w:sz w:val="21"/>
                <w:szCs w:val="21"/>
                <w:lang w:eastAsia="zh-CN"/>
              </w:rPr>
              <w:t>，</w:t>
            </w:r>
          </w:p>
          <w:p>
            <w:pPr>
              <w:rPr>
                <w:rFonts w:hint="eastAsia"/>
                <w:sz w:val="21"/>
                <w:szCs w:val="21"/>
              </w:rPr>
            </w:pPr>
            <w:r>
              <w:rPr>
                <w:rFonts w:hint="eastAsia"/>
                <w:sz w:val="21"/>
                <w:szCs w:val="21"/>
              </w:rPr>
              <w:t>触电情况</w:t>
            </w:r>
            <w:r>
              <w:rPr>
                <w:rFonts w:hint="eastAsia"/>
                <w:sz w:val="21"/>
                <w:szCs w:val="21"/>
                <w:lang w:eastAsia="zh-CN"/>
              </w:rPr>
              <w:t>——</w:t>
            </w:r>
            <w:r>
              <w:rPr>
                <w:rFonts w:hint="eastAsia"/>
                <w:sz w:val="21"/>
                <w:szCs w:val="21"/>
              </w:rPr>
              <w:t>现场工人劳保用品配备和设备电源开关管理等基本符合要求；电工定期对现场设备接地情况定期进行检查，确保设备接地良好，但现场查看生产设备配电箱电线过多，灰尘较大，存在安全隐患，已同部门负责人交流。</w:t>
            </w:r>
          </w:p>
          <w:p>
            <w:pPr>
              <w:rPr>
                <w:rFonts w:hint="eastAsia"/>
                <w:sz w:val="21"/>
                <w:szCs w:val="21"/>
              </w:rPr>
            </w:pPr>
            <w:r>
              <w:rPr>
                <w:rFonts w:hint="eastAsia"/>
                <w:sz w:val="21"/>
                <w:szCs w:val="21"/>
              </w:rPr>
              <w:t>仓库：</w:t>
            </w:r>
          </w:p>
          <w:p>
            <w:pPr>
              <w:rPr>
                <w:rFonts w:hint="eastAsia"/>
                <w:sz w:val="21"/>
                <w:szCs w:val="21"/>
              </w:rPr>
            </w:pPr>
            <w:r>
              <w:rPr>
                <w:rFonts w:hint="eastAsia"/>
                <w:sz w:val="21"/>
                <w:szCs w:val="21"/>
              </w:rPr>
              <w:t>原材料库存放的原材料/成品库房存放少量成品，其分类存放，有标识，现场观察基本符合要求。</w:t>
            </w:r>
          </w:p>
          <w:p>
            <w:pPr>
              <w:rPr>
                <w:rFonts w:hint="eastAsia"/>
                <w:sz w:val="21"/>
                <w:szCs w:val="21"/>
              </w:rPr>
            </w:pPr>
            <w:r>
              <w:rPr>
                <w:rFonts w:hint="eastAsia"/>
                <w:sz w:val="21"/>
                <w:szCs w:val="21"/>
              </w:rPr>
              <w:t>货物装卸过程要求进出车辆要求进入公司附近开始不鸣喇叭；装卸过程注意协调指挥，互相防护，避免跌落、砸伤、车辆伤害等。</w:t>
            </w:r>
          </w:p>
          <w:p>
            <w:pPr>
              <w:rPr>
                <w:rFonts w:hint="eastAsia"/>
                <w:sz w:val="21"/>
                <w:szCs w:val="21"/>
              </w:rPr>
            </w:pPr>
            <w:r>
              <w:rPr>
                <w:rFonts w:hint="eastAsia"/>
                <w:sz w:val="21"/>
                <w:szCs w:val="21"/>
              </w:rPr>
              <w:t>员工按要求佩戴了手套、工作服。操作过程中，互相护卫。</w:t>
            </w:r>
          </w:p>
          <w:p>
            <w:pPr>
              <w:rPr>
                <w:rFonts w:hint="eastAsia"/>
                <w:sz w:val="21"/>
                <w:szCs w:val="21"/>
              </w:rPr>
            </w:pPr>
            <w:r>
              <w:rPr>
                <w:rFonts w:hint="eastAsia"/>
                <w:sz w:val="21"/>
                <w:szCs w:val="21"/>
              </w:rPr>
              <w:t>仓库搬运工人配备了劳保服、手套等劳保用品，经查现场操作人员佩戴齐全。</w:t>
            </w:r>
          </w:p>
          <w:p>
            <w:pPr>
              <w:rPr>
                <w:rFonts w:hint="eastAsia"/>
                <w:sz w:val="21"/>
                <w:szCs w:val="21"/>
              </w:rPr>
            </w:pPr>
            <w:r>
              <w:rPr>
                <w:rFonts w:hint="eastAsia"/>
                <w:sz w:val="21"/>
                <w:szCs w:val="21"/>
              </w:rPr>
              <w:t xml:space="preserve">提供劳保用品发放记录，抽查 </w:t>
            </w:r>
            <w:r>
              <w:rPr>
                <w:rFonts w:hint="eastAsia"/>
                <w:sz w:val="21"/>
                <w:szCs w:val="21"/>
                <w:lang w:val="en-US" w:eastAsia="zh-CN"/>
              </w:rPr>
              <w:t>2020.8</w:t>
            </w:r>
            <w:r>
              <w:rPr>
                <w:rFonts w:hint="eastAsia"/>
                <w:sz w:val="21"/>
                <w:szCs w:val="21"/>
              </w:rPr>
              <w:t>，发放线手套</w:t>
            </w:r>
            <w:r>
              <w:rPr>
                <w:rFonts w:hint="eastAsia"/>
                <w:sz w:val="21"/>
                <w:szCs w:val="21"/>
                <w:lang w:val="en-US" w:eastAsia="zh-CN"/>
              </w:rPr>
              <w:t>4</w:t>
            </w:r>
            <w:r>
              <w:rPr>
                <w:rFonts w:hint="eastAsia"/>
                <w:sz w:val="21"/>
                <w:szCs w:val="21"/>
              </w:rPr>
              <w:t xml:space="preserve"> 副，经查符合要求。</w:t>
            </w:r>
          </w:p>
          <w:p>
            <w:pPr>
              <w:rPr>
                <w:rFonts w:hint="eastAsia"/>
                <w:sz w:val="21"/>
                <w:szCs w:val="21"/>
              </w:rPr>
            </w:pPr>
            <w:r>
              <w:rPr>
                <w:rFonts w:hint="eastAsia"/>
                <w:sz w:val="21"/>
                <w:szCs w:val="21"/>
              </w:rPr>
              <w:t>潜在火灾的控制情况：提供了火灾应急预案。</w:t>
            </w:r>
          </w:p>
          <w:p>
            <w:pPr>
              <w:rPr>
                <w:rFonts w:hint="eastAsia"/>
                <w:sz w:val="21"/>
                <w:szCs w:val="21"/>
              </w:rPr>
            </w:pPr>
            <w:r>
              <w:rPr>
                <w:rFonts w:hint="eastAsia"/>
                <w:sz w:val="21"/>
                <w:szCs w:val="21"/>
              </w:rPr>
              <w:t>对仓库库存放产品每月检查一次，检查内容有产品库存情况、防护情况等，目前控制情况良好。</w:t>
            </w:r>
          </w:p>
          <w:p>
            <w:pPr>
              <w:rPr>
                <w:rFonts w:hint="default"/>
                <w:sz w:val="21"/>
                <w:szCs w:val="21"/>
                <w:lang w:val="en-US" w:eastAsia="zh-CN"/>
              </w:rPr>
            </w:pPr>
            <w:r>
              <w:rPr>
                <w:rFonts w:hint="eastAsia"/>
                <w:sz w:val="21"/>
                <w:szCs w:val="21"/>
                <w:lang w:val="en-US" w:eastAsia="zh-CN"/>
              </w:rPr>
              <w:t>经查，符合要求。</w:t>
            </w:r>
          </w:p>
        </w:tc>
        <w:tc>
          <w:tcPr>
            <w:tcW w:w="553" w:type="dxa"/>
          </w:tcPr>
          <w:p/>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r>
              <w:rPr>
                <w:rFonts w:hint="eastAsia"/>
                <w:lang w:val="en-US" w:eastAsia="zh-CN"/>
              </w:rPr>
              <w:t>Ok</w:t>
            </w:r>
          </w:p>
          <w:p/>
          <w:p/>
          <w:p/>
          <w:p/>
          <w:p/>
          <w:p/>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080" w:type="dxa"/>
            <w:vAlign w:val="center"/>
          </w:tcPr>
          <w:p>
            <w:r>
              <w:rPr>
                <w:rFonts w:hint="eastAsia"/>
                <w:sz w:val="21"/>
                <w:szCs w:val="21"/>
                <w:lang w:val="en-US" w:eastAsia="zh-CN"/>
              </w:rPr>
              <w:t>应急准备和响应</w:t>
            </w:r>
          </w:p>
        </w:tc>
        <w:tc>
          <w:tcPr>
            <w:tcW w:w="830" w:type="dxa"/>
            <w:vAlign w:val="center"/>
          </w:tcPr>
          <w:p>
            <w:r>
              <w:rPr>
                <w:rFonts w:hint="eastAsia"/>
                <w:sz w:val="21"/>
                <w:szCs w:val="21"/>
                <w:lang w:val="en-US" w:eastAsia="zh-CN"/>
              </w:rPr>
              <w:t>EO8.2</w:t>
            </w:r>
          </w:p>
        </w:tc>
        <w:tc>
          <w:tcPr>
            <w:tcW w:w="7532" w:type="dxa"/>
            <w:vAlign w:val="center"/>
          </w:tcPr>
          <w:p>
            <w:pPr>
              <w:rPr>
                <w:rFonts w:hint="eastAsia"/>
                <w:sz w:val="21"/>
                <w:szCs w:val="21"/>
                <w:lang w:val="en-US" w:eastAsia="zh-CN"/>
              </w:rPr>
            </w:pPr>
            <w:r>
              <w:rPr>
                <w:rFonts w:hint="eastAsia"/>
                <w:sz w:val="21"/>
                <w:szCs w:val="21"/>
                <w:lang w:val="en-US" w:eastAsia="zh-CN"/>
              </w:rPr>
              <w:t>1、查策划有《应急准备与响应控制程序》，编制有《应急预案汇编》，包括《火灾事故应急预案》、《触电故应急预案》等。</w:t>
            </w:r>
          </w:p>
          <w:p>
            <w:pPr>
              <w:rPr>
                <w:rFonts w:hint="eastAsia"/>
                <w:sz w:val="21"/>
                <w:szCs w:val="21"/>
                <w:lang w:val="en-US" w:eastAsia="zh-CN"/>
              </w:rPr>
            </w:pPr>
            <w:r>
              <w:rPr>
                <w:rFonts w:hint="eastAsia"/>
                <w:sz w:val="21"/>
                <w:szCs w:val="21"/>
                <w:lang w:val="en-US" w:eastAsia="zh-CN"/>
              </w:rPr>
              <w:t>2、应急准备工作开展以下活动：</w:t>
            </w:r>
          </w:p>
          <w:p>
            <w:pPr>
              <w:rPr>
                <w:rFonts w:hint="eastAsia"/>
                <w:sz w:val="21"/>
                <w:szCs w:val="21"/>
                <w:lang w:val="en-US" w:eastAsia="zh-CN"/>
              </w:rPr>
            </w:pPr>
            <w:r>
              <w:rPr>
                <w:rFonts w:hint="eastAsia"/>
                <w:sz w:val="21"/>
                <w:szCs w:val="21"/>
                <w:lang w:val="en-US" w:eastAsia="zh-CN"/>
              </w:rPr>
              <w:t>——建立应急组织，提供应急组织机构图、消防队人员名单、职责权限规定等。</w:t>
            </w:r>
          </w:p>
          <w:p>
            <w:pPr>
              <w:rPr>
                <w:rFonts w:hint="eastAsia"/>
                <w:sz w:val="21"/>
                <w:szCs w:val="21"/>
                <w:lang w:val="en-US" w:eastAsia="zh-CN"/>
              </w:rPr>
            </w:pPr>
            <w:r>
              <w:rPr>
                <w:rFonts w:hint="eastAsia"/>
                <w:sz w:val="21"/>
                <w:szCs w:val="21"/>
                <w:lang w:val="en-US" w:eastAsia="zh-CN"/>
              </w:rPr>
              <w:t>——提供有消防器材检查记录表。</w:t>
            </w:r>
          </w:p>
          <w:p>
            <w:pPr>
              <w:rPr>
                <w:rFonts w:hint="eastAsia"/>
                <w:sz w:val="21"/>
                <w:szCs w:val="21"/>
                <w:lang w:val="en-US" w:eastAsia="zh-CN"/>
              </w:rPr>
            </w:pPr>
            <w:r>
              <w:rPr>
                <w:rFonts w:hint="eastAsia"/>
                <w:sz w:val="21"/>
                <w:szCs w:val="21"/>
                <w:lang w:val="en-US" w:eastAsia="zh-CN"/>
              </w:rPr>
              <w:t>——进行消防常识和能力培训、潜在的火灾爆炸的常识和能力的培训。</w:t>
            </w:r>
          </w:p>
          <w:p>
            <w:pPr>
              <w:rPr>
                <w:rFonts w:hint="eastAsia"/>
                <w:sz w:val="21"/>
                <w:szCs w:val="21"/>
                <w:lang w:val="en-US" w:eastAsia="zh-CN"/>
              </w:rPr>
            </w:pPr>
            <w:r>
              <w:rPr>
                <w:rFonts w:hint="eastAsia"/>
                <w:sz w:val="21"/>
                <w:szCs w:val="21"/>
                <w:lang w:val="en-US" w:eastAsia="zh-CN"/>
              </w:rPr>
              <w:t>该部门介绍开展了消防演练和重伤演练活动：</w:t>
            </w:r>
          </w:p>
          <w:p>
            <w:pPr>
              <w:rPr>
                <w:rFonts w:hint="eastAsia"/>
                <w:sz w:val="21"/>
                <w:szCs w:val="21"/>
                <w:lang w:val="en-US" w:eastAsia="zh-CN"/>
              </w:rPr>
            </w:pPr>
            <w:r>
              <w:rPr>
                <w:rFonts w:hint="eastAsia"/>
                <w:sz w:val="21"/>
                <w:szCs w:val="21"/>
                <w:lang w:val="en-US" w:eastAsia="zh-CN"/>
              </w:rPr>
              <w:t>提供有2019年5月25日“消防演习计划”。</w:t>
            </w:r>
          </w:p>
          <w:p>
            <w:pPr>
              <w:rPr>
                <w:rFonts w:hint="eastAsia"/>
                <w:sz w:val="21"/>
                <w:szCs w:val="21"/>
                <w:lang w:val="en-US" w:eastAsia="zh-CN"/>
              </w:rPr>
            </w:pPr>
            <w:r>
              <w:rPr>
                <w:rFonts w:hint="eastAsia"/>
                <w:sz w:val="21"/>
                <w:szCs w:val="21"/>
                <w:lang w:val="en-US" w:eastAsia="zh-CN"/>
              </w:rPr>
              <w:t>——演练时间：2020年5月25日</w:t>
            </w:r>
          </w:p>
          <w:p>
            <w:pPr>
              <w:rPr>
                <w:rFonts w:hint="eastAsia"/>
                <w:sz w:val="21"/>
                <w:szCs w:val="21"/>
                <w:lang w:val="en-US" w:eastAsia="zh-CN"/>
              </w:rPr>
            </w:pPr>
            <w:r>
              <w:rPr>
                <w:rFonts w:hint="eastAsia"/>
                <w:sz w:val="21"/>
                <w:szCs w:val="21"/>
                <w:lang w:val="en-US" w:eastAsia="zh-CN"/>
              </w:rPr>
              <w:t>——演练组织人：总经理；参加人员：全体</w:t>
            </w:r>
          </w:p>
          <w:p>
            <w:pPr>
              <w:rPr>
                <w:rFonts w:hint="eastAsia"/>
                <w:sz w:val="21"/>
                <w:szCs w:val="21"/>
                <w:lang w:val="en-US" w:eastAsia="zh-CN"/>
              </w:rPr>
            </w:pPr>
            <w:r>
              <w:rPr>
                <w:rFonts w:hint="eastAsia"/>
                <w:sz w:val="21"/>
                <w:szCs w:val="21"/>
                <w:lang w:val="en-US" w:eastAsia="zh-CN"/>
              </w:rPr>
              <w:t>——演练效果评价记录：通过演练，证明预案基本适宜，全体人员对预案的要求有了比较适宜的操作方法，可以有效履行预案的要求，对伤害事故起到良好的控制作用。</w:t>
            </w:r>
          </w:p>
          <w:p>
            <w:pPr>
              <w:rPr>
                <w:rFonts w:hint="eastAsia"/>
                <w:sz w:val="21"/>
                <w:szCs w:val="21"/>
                <w:lang w:val="en-US" w:eastAsia="zh-CN"/>
              </w:rPr>
            </w:pPr>
            <w:r>
              <w:rPr>
                <w:rFonts w:hint="eastAsia"/>
                <w:sz w:val="21"/>
                <w:szCs w:val="21"/>
                <w:lang w:val="en-US" w:eastAsia="zh-CN"/>
              </w:rPr>
              <w:t>——对消防应急预案的适用性、可操作性进行评审；符合要求。</w:t>
            </w:r>
          </w:p>
          <w:p>
            <w:r>
              <w:rPr>
                <w:rFonts w:hint="eastAsia"/>
                <w:sz w:val="21"/>
                <w:szCs w:val="21"/>
                <w:lang w:val="en-US" w:eastAsia="zh-CN"/>
              </w:rPr>
              <w:t>现场查看，车间配置有灭火器等消防设施。</w:t>
            </w:r>
          </w:p>
        </w:tc>
        <w:tc>
          <w:tcPr>
            <w:tcW w:w="553" w:type="dxa"/>
          </w:tcPr>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default"/>
                <w:lang w:val="en-US"/>
              </w:rPr>
            </w:pPr>
            <w:r>
              <w:rPr>
                <w:rFonts w:hint="eastAsia"/>
                <w:lang w:val="en-US" w:eastAsia="zh-CN"/>
              </w:rPr>
              <w:t>OK</w:t>
            </w:r>
          </w:p>
        </w:tc>
      </w:tr>
    </w:tbl>
    <w:p>
      <w:pPr>
        <w:pStyle w:val="5"/>
      </w:pPr>
    </w:p>
    <w:p>
      <w:pPr>
        <w:pStyle w:val="5"/>
      </w:pPr>
    </w:p>
    <w:p>
      <w:pPr>
        <w:pStyle w:val="5"/>
      </w:pPr>
    </w:p>
    <w:p>
      <w:pPr>
        <w:pStyle w:val="5"/>
      </w:pPr>
    </w:p>
    <w:tbl>
      <w:tblPr>
        <w:tblStyle w:val="8"/>
        <w:tblW w:w="98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1"/>
        <w:gridCol w:w="788"/>
        <w:gridCol w:w="7258"/>
        <w:gridCol w:w="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221"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788" w:type="dxa"/>
            <w:vMerge w:val="restart"/>
            <w:vAlign w:val="center"/>
          </w:tcPr>
          <w:p>
            <w:pPr>
              <w:jc w:val="center"/>
              <w:rPr>
                <w:rFonts w:hint="eastAsia" w:eastAsia="宋体"/>
                <w:sz w:val="24"/>
                <w:szCs w:val="24"/>
                <w:lang w:val="en-US" w:eastAsia="zh-CN"/>
              </w:rPr>
            </w:pPr>
            <w:r>
              <w:rPr>
                <w:rFonts w:hint="eastAsia"/>
                <w:sz w:val="24"/>
                <w:szCs w:val="24"/>
              </w:rPr>
              <w:t>涉及</w:t>
            </w:r>
            <w:r>
              <w:rPr>
                <w:rFonts w:hint="eastAsia"/>
                <w:sz w:val="24"/>
                <w:szCs w:val="24"/>
                <w:lang w:val="en-US" w:eastAsia="zh-CN"/>
              </w:rPr>
              <w:t>-</w:t>
            </w:r>
          </w:p>
          <w:p>
            <w:pPr>
              <w:jc w:val="center"/>
            </w:pPr>
            <w:r>
              <w:rPr>
                <w:rFonts w:hint="eastAsia"/>
                <w:sz w:val="24"/>
                <w:szCs w:val="24"/>
              </w:rPr>
              <w:t>条款</w:t>
            </w:r>
          </w:p>
        </w:tc>
        <w:tc>
          <w:tcPr>
            <w:tcW w:w="7258" w:type="dxa"/>
            <w:vAlign w:val="center"/>
          </w:tcPr>
          <w:p>
            <w:pPr>
              <w:numPr>
                <w:ilvl w:val="0"/>
                <w:numId w:val="0"/>
              </w:numPr>
              <w:spacing w:line="380" w:lineRule="exact"/>
              <w:ind w:leftChars="0"/>
              <w:rPr>
                <w:rFonts w:hint="default" w:ascii="Times New Roman" w:hAnsi="Times New Roman" w:cs="Times New Roman"/>
                <w:sz w:val="24"/>
                <w:szCs w:val="22"/>
                <w:lang w:val="en-US" w:eastAsia="zh-CN"/>
              </w:rPr>
            </w:pPr>
            <w:r>
              <w:rPr>
                <w:rFonts w:hint="eastAsia" w:ascii="Times New Roman" w:hAnsi="Times New Roman" w:cs="Times New Roman"/>
                <w:sz w:val="24"/>
                <w:szCs w:val="22"/>
                <w:lang w:val="en-US" w:eastAsia="zh-CN"/>
              </w:rPr>
              <w:t xml:space="preserve">受审核部门：供销部   </w:t>
            </w:r>
            <w:r>
              <w:rPr>
                <w:rFonts w:hint="eastAsia" w:cs="Times New Roman"/>
                <w:sz w:val="24"/>
                <w:szCs w:val="22"/>
                <w:lang w:val="en-US" w:eastAsia="zh-CN"/>
              </w:rPr>
              <w:t xml:space="preserve">        </w:t>
            </w:r>
            <w:r>
              <w:rPr>
                <w:rFonts w:hint="eastAsia" w:ascii="Times New Roman" w:hAnsi="Times New Roman" w:cs="Times New Roman"/>
                <w:sz w:val="24"/>
                <w:szCs w:val="22"/>
                <w:lang w:val="en-US" w:eastAsia="zh-CN"/>
              </w:rPr>
              <w:t xml:space="preserve"> 主管领导：</w:t>
            </w:r>
            <w:r>
              <w:rPr>
                <w:rFonts w:hint="eastAsia"/>
                <w:szCs w:val="22"/>
                <w:lang w:val="en-US" w:eastAsia="zh-CN"/>
              </w:rPr>
              <w:t>李颖</w:t>
            </w:r>
            <w:r>
              <w:rPr>
                <w:rFonts w:hint="eastAsia" w:ascii="Times New Roman" w:hAnsi="Times New Roman" w:cs="Times New Roman"/>
                <w:sz w:val="24"/>
                <w:szCs w:val="22"/>
                <w:lang w:val="en-US" w:eastAsia="zh-CN"/>
              </w:rPr>
              <w:t xml:space="preserve">   </w:t>
            </w:r>
            <w:r>
              <w:rPr>
                <w:rFonts w:hint="eastAsia" w:cs="Times New Roman"/>
                <w:sz w:val="24"/>
                <w:szCs w:val="22"/>
                <w:lang w:val="en-US" w:eastAsia="zh-CN"/>
              </w:rPr>
              <w:t xml:space="preserve">       </w:t>
            </w:r>
            <w:r>
              <w:rPr>
                <w:rFonts w:hint="eastAsia" w:ascii="Times New Roman" w:hAnsi="Times New Roman" w:cs="Times New Roman"/>
                <w:sz w:val="24"/>
                <w:szCs w:val="22"/>
                <w:lang w:val="en-US" w:eastAsia="zh-CN"/>
              </w:rPr>
              <w:t xml:space="preserve"> 陪同人员：</w:t>
            </w:r>
            <w:r>
              <w:rPr>
                <w:rFonts w:hint="eastAsia" w:cs="Times New Roman"/>
                <w:sz w:val="24"/>
                <w:szCs w:val="22"/>
                <w:lang w:val="en-US" w:eastAsia="zh-CN"/>
              </w:rPr>
              <w:t>李阳</w:t>
            </w:r>
          </w:p>
        </w:tc>
        <w:tc>
          <w:tcPr>
            <w:tcW w:w="624" w:type="dxa"/>
            <w:vMerge w:val="restart"/>
            <w:vAlign w:val="center"/>
          </w:tcPr>
          <w:p>
            <w:pPr>
              <w:rPr>
                <w:sz w:val="24"/>
                <w:szCs w:val="24"/>
              </w:rPr>
            </w:pPr>
            <w:r>
              <w:rPr>
                <w:rFonts w:hint="eastAsia"/>
                <w:sz w:val="24"/>
                <w:szCs w:val="24"/>
              </w:rPr>
              <w:t>判</w:t>
            </w:r>
            <w:r>
              <w:rPr>
                <w:rFonts w:hint="eastAsia"/>
                <w:sz w:val="24"/>
                <w:szCs w:val="24"/>
                <w:lang w:val="en-US" w:eastAsia="zh-CN"/>
              </w:rPr>
              <w:t xml:space="preserve"> </w:t>
            </w:r>
            <w:r>
              <w:rPr>
                <w:rFonts w:hint="eastAsia"/>
                <w:sz w:val="24"/>
                <w:szCs w:val="24"/>
              </w:rPr>
              <w:t>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221" w:type="dxa"/>
            <w:vMerge w:val="continue"/>
            <w:vAlign w:val="center"/>
          </w:tcPr>
          <w:p/>
        </w:tc>
        <w:tc>
          <w:tcPr>
            <w:tcW w:w="788" w:type="dxa"/>
            <w:vMerge w:val="continue"/>
            <w:vAlign w:val="center"/>
          </w:tcPr>
          <w:p/>
        </w:tc>
        <w:tc>
          <w:tcPr>
            <w:tcW w:w="7258" w:type="dxa"/>
            <w:vAlign w:val="center"/>
          </w:tcPr>
          <w:p>
            <w:pPr>
              <w:numPr>
                <w:ilvl w:val="0"/>
                <w:numId w:val="0"/>
              </w:numPr>
              <w:spacing w:line="380" w:lineRule="exact"/>
              <w:ind w:leftChars="0"/>
              <w:rPr>
                <w:rFonts w:hint="default" w:ascii="Times New Roman" w:hAnsi="Times New Roman" w:cs="Times New Roman"/>
                <w:sz w:val="24"/>
                <w:szCs w:val="22"/>
                <w:lang w:val="en-US" w:eastAsia="zh-CN"/>
              </w:rPr>
            </w:pPr>
            <w:r>
              <w:rPr>
                <w:rFonts w:hint="eastAsia" w:ascii="Times New Roman" w:hAnsi="Times New Roman" w:cs="Times New Roman"/>
                <w:sz w:val="24"/>
                <w:szCs w:val="22"/>
                <w:lang w:val="en-US" w:eastAsia="zh-CN"/>
              </w:rPr>
              <w:t>审核员：周涛          审核时间：</w:t>
            </w:r>
            <w:r>
              <w:rPr>
                <w:rFonts w:hint="eastAsia" w:cs="Times New Roman"/>
                <w:sz w:val="24"/>
                <w:szCs w:val="22"/>
                <w:lang w:val="en-US" w:eastAsia="zh-CN"/>
              </w:rPr>
              <w:t>2020.10.17</w:t>
            </w:r>
          </w:p>
        </w:tc>
        <w:tc>
          <w:tcPr>
            <w:tcW w:w="62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221" w:type="dxa"/>
            <w:vMerge w:val="continue"/>
            <w:vAlign w:val="center"/>
          </w:tcPr>
          <w:p/>
        </w:tc>
        <w:tc>
          <w:tcPr>
            <w:tcW w:w="788" w:type="dxa"/>
            <w:vMerge w:val="continue"/>
            <w:vAlign w:val="center"/>
          </w:tcPr>
          <w:p/>
        </w:tc>
        <w:tc>
          <w:tcPr>
            <w:tcW w:w="7258" w:type="dxa"/>
            <w:vAlign w:val="center"/>
          </w:tcPr>
          <w:p>
            <w:pPr>
              <w:spacing w:line="240" w:lineRule="exact"/>
              <w:rPr>
                <w:rFonts w:hint="eastAsia"/>
                <w:sz w:val="21"/>
                <w:szCs w:val="21"/>
              </w:rPr>
            </w:pPr>
            <w:r>
              <w:rPr>
                <w:rFonts w:hint="default"/>
                <w:szCs w:val="22"/>
                <w:lang w:val="en-US" w:eastAsia="zh-CN"/>
              </w:rPr>
              <w:t>组织的岗位、</w:t>
            </w:r>
            <w:r>
              <w:rPr>
                <w:rFonts w:hint="eastAsia"/>
                <w:sz w:val="21"/>
                <w:szCs w:val="21"/>
              </w:rPr>
              <w:t>组织的岗位、职责权限；目标；环境因素、危险源辨识、风险评价和控制措施的确定；运行控制；应急准备和响应</w:t>
            </w:r>
          </w:p>
          <w:p>
            <w:pPr>
              <w:spacing w:line="360" w:lineRule="auto"/>
              <w:ind w:firstLine="420" w:firstLineChars="200"/>
              <w:rPr>
                <w:rFonts w:hint="eastAsia"/>
                <w:szCs w:val="22"/>
                <w:lang w:val="en-US" w:eastAsia="zh-CN"/>
              </w:rPr>
            </w:pPr>
            <w:r>
              <w:rPr>
                <w:rFonts w:hint="eastAsia"/>
                <w:sz w:val="21"/>
                <w:szCs w:val="21"/>
              </w:rPr>
              <w:t>E</w:t>
            </w:r>
            <w:r>
              <w:rPr>
                <w:rFonts w:hint="eastAsia"/>
                <w:sz w:val="21"/>
                <w:szCs w:val="21"/>
                <w:lang w:val="en-US" w:eastAsia="zh-CN"/>
              </w:rPr>
              <w:t>O</w:t>
            </w:r>
            <w:r>
              <w:rPr>
                <w:rFonts w:hint="eastAsia"/>
                <w:sz w:val="21"/>
                <w:szCs w:val="21"/>
              </w:rPr>
              <w:t>5.3/6.1.2/6.2/8.1/8.2</w:t>
            </w:r>
          </w:p>
        </w:tc>
        <w:tc>
          <w:tcPr>
            <w:tcW w:w="62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221" w:type="dxa"/>
          </w:tcPr>
          <w:p>
            <w:pPr>
              <w:keepNext w:val="0"/>
              <w:keepLines w:val="0"/>
              <w:widowControl/>
              <w:suppressLineNumbers w:val="0"/>
              <w:jc w:val="left"/>
              <w:rPr>
                <w:rFonts w:hint="default" w:eastAsia="宋体"/>
                <w:lang w:val="en-US" w:eastAsia="zh-CN"/>
              </w:rPr>
            </w:pPr>
            <w:r>
              <w:rPr>
                <w:rFonts w:hint="eastAsia" w:ascii="宋体" w:hAnsi="宋体" w:eastAsia="宋体" w:cs="宋体"/>
                <w:color w:val="000000"/>
                <w:kern w:val="0"/>
                <w:sz w:val="20"/>
                <w:szCs w:val="20"/>
                <w:lang w:val="en-US" w:eastAsia="zh-CN" w:bidi="ar"/>
              </w:rPr>
              <w:t>岗位、职责和权限</w:t>
            </w:r>
          </w:p>
        </w:tc>
        <w:tc>
          <w:tcPr>
            <w:tcW w:w="788" w:type="dxa"/>
          </w:tcPr>
          <w:p>
            <w:pPr>
              <w:pStyle w:val="2"/>
              <w:rPr>
                <w:rFonts w:hint="default"/>
                <w:lang w:val="en-US" w:eastAsia="zh-CN"/>
              </w:rPr>
            </w:pPr>
            <w:r>
              <w:rPr>
                <w:rFonts w:hint="eastAsia"/>
                <w:lang w:val="en-US" w:eastAsia="zh-CN"/>
              </w:rPr>
              <w:t>QEO5.3</w:t>
            </w:r>
          </w:p>
        </w:tc>
        <w:tc>
          <w:tcPr>
            <w:tcW w:w="7258" w:type="dxa"/>
          </w:tcPr>
          <w:p>
            <w:pPr>
              <w:spacing w:line="360" w:lineRule="auto"/>
              <w:ind w:firstLine="420" w:firstLineChars="200"/>
              <w:rPr>
                <w:rFonts w:hint="eastAsia"/>
                <w:szCs w:val="22"/>
                <w:lang w:val="en-US" w:eastAsia="zh-CN"/>
              </w:rPr>
            </w:pPr>
            <w:r>
              <w:rPr>
                <w:rFonts w:hint="eastAsia"/>
                <w:szCs w:val="22"/>
                <w:lang w:val="en-US" w:eastAsia="zh-CN"/>
              </w:rPr>
              <w:t>供销部职责</w:t>
            </w:r>
          </w:p>
          <w:p>
            <w:pPr>
              <w:spacing w:line="360" w:lineRule="auto"/>
              <w:ind w:firstLine="420" w:firstLineChars="200"/>
              <w:rPr>
                <w:rFonts w:hint="eastAsia"/>
                <w:szCs w:val="22"/>
                <w:lang w:val="en-US" w:eastAsia="zh-CN"/>
              </w:rPr>
            </w:pPr>
            <w:r>
              <w:rPr>
                <w:rFonts w:hint="eastAsia"/>
                <w:szCs w:val="22"/>
                <w:lang w:val="en-US" w:eastAsia="zh-CN"/>
              </w:rPr>
              <w:t>1）参与制定公司的管理方针，向最高管理者负责，协助管理者代表建立、实施管理体系；</w:t>
            </w:r>
          </w:p>
          <w:p>
            <w:pPr>
              <w:spacing w:line="360" w:lineRule="auto"/>
              <w:ind w:firstLine="420" w:firstLineChars="200"/>
              <w:rPr>
                <w:rFonts w:hint="eastAsia"/>
                <w:szCs w:val="22"/>
                <w:lang w:val="en-US" w:eastAsia="zh-CN"/>
              </w:rPr>
            </w:pPr>
            <w:r>
              <w:rPr>
                <w:rFonts w:hint="eastAsia"/>
                <w:szCs w:val="22"/>
                <w:lang w:val="en-US" w:eastAsia="zh-CN"/>
              </w:rPr>
              <w:t>2）遵守相关的法律、法规，并贯彻实施，确保管理体系目标、指标的实现；</w:t>
            </w:r>
          </w:p>
          <w:p>
            <w:pPr>
              <w:spacing w:line="360" w:lineRule="auto"/>
              <w:ind w:firstLine="420" w:firstLineChars="200"/>
              <w:rPr>
                <w:rFonts w:hint="eastAsia"/>
                <w:szCs w:val="22"/>
                <w:lang w:val="en-US" w:eastAsia="zh-CN"/>
              </w:rPr>
            </w:pPr>
            <w:r>
              <w:rPr>
                <w:rFonts w:hint="eastAsia"/>
                <w:szCs w:val="22"/>
                <w:lang w:val="en-US" w:eastAsia="zh-CN"/>
              </w:rPr>
              <w:t>3）负责公司的采购工作，监督本部门员工做好环境/职业健康安全工作的检查工作，及时将发现问题转达到相关部门，并做好问题的跟踪解决；</w:t>
            </w:r>
          </w:p>
          <w:p>
            <w:pPr>
              <w:spacing w:line="360" w:lineRule="auto"/>
              <w:ind w:firstLine="420" w:firstLineChars="200"/>
              <w:rPr>
                <w:rFonts w:hint="eastAsia"/>
                <w:szCs w:val="22"/>
                <w:lang w:val="en-US" w:eastAsia="zh-CN"/>
              </w:rPr>
            </w:pPr>
            <w:r>
              <w:rPr>
                <w:rFonts w:hint="eastAsia"/>
                <w:szCs w:val="22"/>
                <w:lang w:val="en-US" w:eastAsia="zh-CN"/>
              </w:rPr>
              <w:t>4）贯彻本部门环境\职业健康安全管理目标，控制重要环境因素、不可控风险，做好预防污染和预防伤亡事故工作。</w:t>
            </w:r>
          </w:p>
          <w:p>
            <w:pPr>
              <w:spacing w:line="360" w:lineRule="auto"/>
              <w:ind w:firstLine="420" w:firstLineChars="200"/>
              <w:rPr>
                <w:rFonts w:hint="eastAsia"/>
                <w:szCs w:val="22"/>
                <w:lang w:val="en-US" w:eastAsia="zh-CN"/>
              </w:rPr>
            </w:pPr>
            <w:r>
              <w:rPr>
                <w:rFonts w:hint="eastAsia"/>
                <w:szCs w:val="22"/>
                <w:lang w:val="en-US" w:eastAsia="zh-CN"/>
              </w:rPr>
              <w:t>5）负责公司供方的评价、选择工作，负责与相关方的信息交流，并对其施加影响。</w:t>
            </w:r>
          </w:p>
          <w:p>
            <w:pPr>
              <w:spacing w:line="360" w:lineRule="auto"/>
              <w:ind w:firstLine="420" w:firstLineChars="200"/>
              <w:rPr>
                <w:rFonts w:hint="eastAsia"/>
                <w:szCs w:val="22"/>
                <w:lang w:val="en-US" w:eastAsia="zh-CN"/>
              </w:rPr>
            </w:pPr>
            <w:r>
              <w:rPr>
                <w:rFonts w:hint="eastAsia"/>
                <w:szCs w:val="22"/>
                <w:lang w:val="en-US" w:eastAsia="zh-CN"/>
              </w:rPr>
              <w:t>6）负责公司的合同评审工作，监督本部门员工做好环境/职业健康安全工作的检查工作，及时将发现问题转达到相关部门，并做好问题的跟踪解决；</w:t>
            </w:r>
          </w:p>
          <w:p>
            <w:pPr>
              <w:spacing w:line="360" w:lineRule="auto"/>
              <w:ind w:firstLine="420" w:firstLineChars="200"/>
              <w:rPr>
                <w:rFonts w:hint="default"/>
                <w:szCs w:val="22"/>
                <w:lang w:val="en-US" w:eastAsia="zh-CN"/>
              </w:rPr>
            </w:pPr>
            <w:r>
              <w:rPr>
                <w:rFonts w:hint="eastAsia"/>
                <w:szCs w:val="22"/>
                <w:lang w:val="en-US" w:eastAsia="zh-CN"/>
              </w:rPr>
              <w:t>7）负责与顾客和相关方沟通，负责顾客满意度调查工作，贯彻本部门环境\职业健康安全管理目标，控制重要环境因素、不可控风险，做好预防污染和预防伤亡事故工作。</w:t>
            </w:r>
          </w:p>
        </w:tc>
        <w:tc>
          <w:tcPr>
            <w:tcW w:w="624" w:type="dxa"/>
          </w:tcPr>
          <w:p>
            <w:pPr>
              <w:pStyle w:val="2"/>
              <w:rPr>
                <w:rFonts w:hint="eastAsia"/>
                <w:lang w:val="en-US" w:eastAsia="zh-CN"/>
              </w:rPr>
            </w:pPr>
            <w:r>
              <w:rPr>
                <w:rFonts w:hint="eastAsia"/>
                <w:lang w:val="en-US" w:eastAsia="zh-CN"/>
              </w:rPr>
              <w:t xml:space="preserve"> </w:t>
            </w: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ind w:firstLine="230" w:firstLineChars="100"/>
              <w:rPr>
                <w:rFonts w:hint="default"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221" w:type="dxa"/>
          </w:tcPr>
          <w:p>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default" w:ascii="Times New Roman" w:hAnsi="Times New Roman" w:cs="Times New Roman"/>
                <w:sz w:val="24"/>
                <w:szCs w:val="22"/>
                <w:lang w:val="en-US" w:eastAsia="zh-CN"/>
              </w:rPr>
              <w:t>环境因素/危险源识别评价</w:t>
            </w:r>
          </w:p>
        </w:tc>
        <w:tc>
          <w:tcPr>
            <w:tcW w:w="788" w:type="dxa"/>
          </w:tcPr>
          <w:p>
            <w:pPr>
              <w:pStyle w:val="2"/>
              <w:rPr>
                <w:rFonts w:hint="eastAsia"/>
                <w:lang w:val="en-US" w:eastAsia="zh-CN"/>
              </w:rPr>
            </w:pPr>
            <w:r>
              <w:rPr>
                <w:rFonts w:hint="default" w:ascii="Times New Roman" w:hAnsi="Times New Roman" w:cs="Times New Roman"/>
                <w:color w:val="0000FF"/>
                <w:sz w:val="24"/>
                <w:szCs w:val="22"/>
                <w:lang w:val="en-US" w:eastAsia="zh-CN"/>
              </w:rPr>
              <w:t>EO</w:t>
            </w:r>
            <w:r>
              <w:rPr>
                <w:rFonts w:hint="default" w:ascii="Times New Roman" w:hAnsi="Times New Roman" w:cs="Times New Roman"/>
                <w:sz w:val="24"/>
                <w:szCs w:val="22"/>
                <w:lang w:val="en-US" w:eastAsia="zh-CN"/>
              </w:rPr>
              <w:t>/6.1.2</w:t>
            </w:r>
          </w:p>
        </w:tc>
        <w:tc>
          <w:tcPr>
            <w:tcW w:w="7258" w:type="dxa"/>
            <w:vAlign w:val="top"/>
          </w:tcPr>
          <w:p>
            <w:pPr>
              <w:spacing w:line="360" w:lineRule="auto"/>
              <w:ind w:firstLine="420" w:firstLineChars="200"/>
              <w:rPr>
                <w:rFonts w:hint="eastAsia"/>
                <w:szCs w:val="22"/>
                <w:lang w:val="en-US" w:eastAsia="zh-CN"/>
              </w:rPr>
            </w:pPr>
            <w:r>
              <w:rPr>
                <w:rFonts w:hint="eastAsia"/>
                <w:szCs w:val="22"/>
                <w:lang w:val="en-US" w:eastAsia="zh-CN"/>
              </w:rPr>
              <w:t>编制了《环境因素识别与评价控制程序》，经查基本符合标准要求。</w:t>
            </w:r>
          </w:p>
          <w:p>
            <w:pPr>
              <w:spacing w:line="360" w:lineRule="auto"/>
              <w:ind w:firstLine="420" w:firstLineChars="200"/>
              <w:rPr>
                <w:rFonts w:hint="eastAsia"/>
                <w:szCs w:val="22"/>
                <w:lang w:val="en-US" w:eastAsia="zh-CN"/>
              </w:rPr>
            </w:pPr>
            <w:r>
              <w:rPr>
                <w:rFonts w:hint="eastAsia"/>
                <w:szCs w:val="22"/>
                <w:lang w:val="en-US" w:eastAsia="zh-CN"/>
              </w:rPr>
              <w:t>提供《环境因素评价表》，其中涉及采购部包括固废废弃、包装箱的废弃、意外火灾、原材料损耗、资源的消耗等。</w:t>
            </w:r>
          </w:p>
          <w:p>
            <w:pPr>
              <w:spacing w:line="360" w:lineRule="auto"/>
              <w:ind w:firstLine="420" w:firstLineChars="200"/>
              <w:rPr>
                <w:rFonts w:hint="eastAsia"/>
                <w:szCs w:val="22"/>
                <w:lang w:val="en-US" w:eastAsia="zh-CN"/>
              </w:rPr>
            </w:pPr>
            <w:r>
              <w:rPr>
                <w:rFonts w:hint="eastAsia"/>
                <w:szCs w:val="22"/>
                <w:lang w:val="en-US" w:eastAsia="zh-CN"/>
              </w:rPr>
              <w:t>可以提供《重要环境因素清单》，其中重要环境因素：资源能源消耗、火灾发生、固废排放。</w:t>
            </w:r>
          </w:p>
          <w:p>
            <w:pPr>
              <w:spacing w:line="360" w:lineRule="auto"/>
              <w:ind w:firstLine="420" w:firstLineChars="200"/>
              <w:rPr>
                <w:rFonts w:hint="eastAsia"/>
                <w:szCs w:val="22"/>
                <w:lang w:val="en-US" w:eastAsia="zh-CN"/>
              </w:rPr>
            </w:pPr>
            <w:r>
              <w:rPr>
                <w:rFonts w:hint="eastAsia"/>
                <w:szCs w:val="22"/>
                <w:lang w:val="en-US" w:eastAsia="zh-CN"/>
              </w:rPr>
              <w:t>评价基本合理。</w:t>
            </w:r>
          </w:p>
          <w:p>
            <w:pPr>
              <w:spacing w:line="360" w:lineRule="auto"/>
              <w:ind w:firstLine="420" w:firstLineChars="200"/>
              <w:rPr>
                <w:rFonts w:hint="eastAsia"/>
                <w:szCs w:val="22"/>
                <w:lang w:val="en-US" w:eastAsia="zh-CN"/>
              </w:rPr>
            </w:pPr>
            <w:r>
              <w:rPr>
                <w:rFonts w:hint="eastAsia"/>
                <w:szCs w:val="22"/>
                <w:lang w:val="en-US" w:eastAsia="zh-CN"/>
              </w:rPr>
              <w:t>提供了职业健康安全危险源识别与评价表，涉及本部门的危险源包括：使用电器不当造成触电，搬运货物造成的砸伤，吸烟乱扔烟头导致火灾，上下班途中交通危险，电器短路或使用时间过长散热不良，相关方进厂驾驶员违章驾驶。</w:t>
            </w:r>
          </w:p>
          <w:p>
            <w:pPr>
              <w:spacing w:line="360" w:lineRule="auto"/>
              <w:ind w:firstLine="420" w:firstLineChars="200"/>
              <w:rPr>
                <w:rFonts w:hint="eastAsia" w:ascii="Times New Roman" w:hAnsi="Times New Roman" w:eastAsia="宋体" w:cs="Times New Roman"/>
                <w:kern w:val="2"/>
                <w:sz w:val="21"/>
                <w:szCs w:val="22"/>
                <w:lang w:val="en-US" w:eastAsia="zh-CN" w:bidi="ar-SA"/>
              </w:rPr>
            </w:pPr>
            <w:r>
              <w:rPr>
                <w:rFonts w:hint="eastAsia"/>
                <w:szCs w:val="22"/>
                <w:lang w:val="en-US" w:eastAsia="zh-CN"/>
              </w:rPr>
              <w:t>用LEC法对识别的危险源进行评价，本部门不可接受风险：火灾、触电、车辆伤害，评价基本准确。</w:t>
            </w:r>
          </w:p>
        </w:tc>
        <w:tc>
          <w:tcPr>
            <w:tcW w:w="624" w:type="dxa"/>
          </w:tcPr>
          <w:p>
            <w:pPr>
              <w:pStyle w:val="2"/>
              <w:ind w:firstLine="230" w:firstLineChars="100"/>
              <w:rPr>
                <w:rFonts w:hint="eastAsia"/>
                <w:lang w:val="en-US" w:eastAsia="zh-CN"/>
              </w:rPr>
            </w:pPr>
          </w:p>
          <w:p>
            <w:pPr>
              <w:pStyle w:val="2"/>
              <w:ind w:firstLine="230" w:firstLineChars="100"/>
              <w:rPr>
                <w:rFonts w:hint="eastAsia"/>
                <w:lang w:val="en-US" w:eastAsia="zh-CN"/>
              </w:rPr>
            </w:pPr>
          </w:p>
          <w:p>
            <w:pPr>
              <w:pStyle w:val="2"/>
              <w:ind w:firstLine="230" w:firstLineChars="100"/>
              <w:rPr>
                <w:rFonts w:hint="eastAsia"/>
                <w:lang w:val="en-US" w:eastAsia="zh-CN"/>
              </w:rPr>
            </w:pPr>
          </w:p>
          <w:p>
            <w:pPr>
              <w:pStyle w:val="2"/>
              <w:ind w:firstLine="230" w:firstLineChars="100"/>
              <w:rPr>
                <w:rFonts w:hint="eastAsia"/>
                <w:lang w:val="en-US" w:eastAsia="zh-CN"/>
              </w:rPr>
            </w:pPr>
          </w:p>
          <w:p>
            <w:pPr>
              <w:pStyle w:val="2"/>
              <w:ind w:firstLine="230" w:firstLineChars="100"/>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221" w:type="dxa"/>
          </w:tcPr>
          <w:p>
            <w:pPr>
              <w:keepNext w:val="0"/>
              <w:keepLines w:val="0"/>
              <w:widowControl/>
              <w:suppressLineNumbers w:val="0"/>
              <w:jc w:val="left"/>
              <w:rPr>
                <w:rFonts w:hint="default" w:ascii="宋体" w:hAnsi="宋体" w:eastAsia="宋体" w:cs="宋体"/>
                <w:color w:val="000000"/>
                <w:kern w:val="0"/>
                <w:sz w:val="20"/>
                <w:szCs w:val="20"/>
                <w:lang w:val="en-US" w:eastAsia="zh-CN" w:bidi="ar"/>
              </w:rPr>
            </w:pPr>
            <w:r>
              <w:rPr>
                <w:rFonts w:hint="default" w:ascii="Times New Roman" w:hAnsi="Times New Roman" w:cs="Times New Roman"/>
                <w:sz w:val="24"/>
                <w:szCs w:val="22"/>
                <w:lang w:val="en-US" w:eastAsia="zh-CN"/>
              </w:rPr>
              <w:t>目标</w:t>
            </w:r>
            <w:r>
              <w:rPr>
                <w:rFonts w:hint="eastAsia" w:cs="Times New Roman"/>
                <w:sz w:val="24"/>
                <w:szCs w:val="22"/>
                <w:lang w:val="en-US" w:eastAsia="zh-CN"/>
              </w:rPr>
              <w:t>完成情况</w:t>
            </w:r>
          </w:p>
        </w:tc>
        <w:tc>
          <w:tcPr>
            <w:tcW w:w="788" w:type="dxa"/>
          </w:tcPr>
          <w:p>
            <w:pPr>
              <w:pStyle w:val="2"/>
              <w:rPr>
                <w:rFonts w:hint="default"/>
                <w:lang w:val="en-US" w:eastAsia="zh-CN"/>
              </w:rPr>
            </w:pPr>
            <w:r>
              <w:rPr>
                <w:rFonts w:hint="eastAsia"/>
                <w:lang w:val="en-US" w:eastAsia="zh-CN"/>
              </w:rPr>
              <w:t>QEO6.2</w:t>
            </w:r>
          </w:p>
        </w:tc>
        <w:tc>
          <w:tcPr>
            <w:tcW w:w="7258" w:type="dxa"/>
          </w:tcPr>
          <w:p>
            <w:pPr>
              <w:spacing w:line="360" w:lineRule="auto"/>
              <w:ind w:firstLine="420" w:firstLineChars="200"/>
              <w:rPr>
                <w:rFonts w:hint="default"/>
                <w:szCs w:val="22"/>
                <w:lang w:val="en-US" w:eastAsia="zh-CN"/>
              </w:rPr>
            </w:pPr>
            <w:r>
              <w:rPr>
                <w:rFonts w:hint="eastAsia"/>
                <w:szCs w:val="22"/>
                <w:lang w:val="en-US" w:eastAsia="zh-CN"/>
              </w:rPr>
              <w:t>供销部的目标及考核情况（2020年前3季度）</w:t>
            </w:r>
          </w:p>
          <w:tbl>
            <w:tblPr>
              <w:tblStyle w:val="8"/>
              <w:tblpPr w:leftFromText="180" w:rightFromText="180" w:vertAnchor="text" w:horzAnchor="page" w:tblpX="347" w:tblpY="245"/>
              <w:tblOverlap w:val="never"/>
              <w:tblW w:w="63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044"/>
              <w:gridCol w:w="2685"/>
              <w:gridCol w:w="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微软雅黑" w:hAnsi="微软雅黑" w:eastAsia="微软雅黑" w:cs="宋体"/>
                      <w:b/>
                      <w:bCs/>
                    </w:rPr>
                  </w:pPr>
                  <w:r>
                    <w:rPr>
                      <w:rFonts w:hint="eastAsia" w:ascii="微软雅黑" w:hAnsi="微软雅黑" w:eastAsia="微软雅黑" w:cs="宋体"/>
                      <w:b/>
                      <w:bCs/>
                    </w:rPr>
                    <w:t>序号</w:t>
                  </w:r>
                </w:p>
              </w:tc>
              <w:tc>
                <w:tcPr>
                  <w:tcW w:w="2044" w:type="dxa"/>
                  <w:tcBorders>
                    <w:top w:val="single" w:color="auto" w:sz="4" w:space="0"/>
                    <w:left w:val="nil"/>
                    <w:bottom w:val="single" w:color="auto" w:sz="4" w:space="0"/>
                    <w:right w:val="single" w:color="auto" w:sz="4" w:space="0"/>
                  </w:tcBorders>
                  <w:noWrap w:val="0"/>
                  <w:vAlign w:val="center"/>
                </w:tcPr>
                <w:p>
                  <w:pPr>
                    <w:jc w:val="center"/>
                    <w:rPr>
                      <w:rFonts w:ascii="微软雅黑" w:hAnsi="微软雅黑" w:eastAsia="微软雅黑" w:cs="宋体"/>
                      <w:b/>
                      <w:bCs/>
                    </w:rPr>
                  </w:pPr>
                  <w:r>
                    <w:rPr>
                      <w:rFonts w:hint="eastAsia" w:ascii="微软雅黑" w:hAnsi="微软雅黑" w:eastAsia="微软雅黑" w:cs="宋体"/>
                      <w:b/>
                      <w:bCs/>
                    </w:rPr>
                    <w:t>目</w:t>
                  </w:r>
                  <w:r>
                    <w:rPr>
                      <w:rFonts w:hint="eastAsia" w:ascii="微软雅黑" w:hAnsi="微软雅黑" w:eastAsia="微软雅黑" w:cs="宋体"/>
                      <w:b/>
                      <w:bCs/>
                      <w:lang w:eastAsia="zh-CN"/>
                    </w:rPr>
                    <w:t xml:space="preserve"> </w:t>
                  </w:r>
                  <w:r>
                    <w:rPr>
                      <w:rFonts w:ascii="微软雅黑" w:hAnsi="微软雅黑" w:eastAsia="微软雅黑" w:cs="宋体"/>
                      <w:b/>
                      <w:bCs/>
                      <w:lang w:eastAsia="zh-CN"/>
                    </w:rPr>
                    <w:t xml:space="preserve"> </w:t>
                  </w:r>
                  <w:r>
                    <w:rPr>
                      <w:rFonts w:hint="eastAsia" w:ascii="微软雅黑" w:hAnsi="微软雅黑" w:eastAsia="微软雅黑" w:cs="宋体"/>
                      <w:b/>
                      <w:bCs/>
                    </w:rPr>
                    <w:t>标</w:t>
                  </w:r>
                </w:p>
              </w:tc>
              <w:tc>
                <w:tcPr>
                  <w:tcW w:w="2685" w:type="dxa"/>
                  <w:tcBorders>
                    <w:top w:val="single" w:color="auto" w:sz="4" w:space="0"/>
                    <w:left w:val="nil"/>
                    <w:bottom w:val="single" w:color="auto" w:sz="4" w:space="0"/>
                    <w:right w:val="single" w:color="auto" w:sz="4" w:space="0"/>
                  </w:tcBorders>
                  <w:noWrap w:val="0"/>
                  <w:vAlign w:val="center"/>
                </w:tcPr>
                <w:p>
                  <w:pPr>
                    <w:jc w:val="center"/>
                    <w:rPr>
                      <w:rFonts w:hint="eastAsia" w:ascii="微软雅黑" w:hAnsi="微软雅黑" w:eastAsia="微软雅黑" w:cs="宋体"/>
                      <w:b/>
                      <w:bCs/>
                      <w:lang w:eastAsia="zh-CN"/>
                    </w:rPr>
                  </w:pPr>
                  <w:r>
                    <w:rPr>
                      <w:rFonts w:hint="eastAsia" w:ascii="微软雅黑" w:hAnsi="微软雅黑" w:eastAsia="微软雅黑" w:cs="宋体"/>
                      <w:b/>
                      <w:bCs/>
                    </w:rPr>
                    <w:t>统计方法</w:t>
                  </w:r>
                  <w:r>
                    <w:rPr>
                      <w:rFonts w:hint="eastAsia" w:ascii="微软雅黑" w:hAnsi="微软雅黑" w:eastAsia="微软雅黑" w:cs="宋体"/>
                      <w:b/>
                      <w:bCs/>
                      <w:lang w:eastAsia="zh-CN"/>
                    </w:rPr>
                    <w:t>/措施</w:t>
                  </w:r>
                </w:p>
              </w:tc>
              <w:tc>
                <w:tcPr>
                  <w:tcW w:w="894" w:type="dxa"/>
                  <w:tcBorders>
                    <w:top w:val="single" w:color="auto" w:sz="4" w:space="0"/>
                    <w:left w:val="nil"/>
                    <w:bottom w:val="single" w:color="auto" w:sz="4" w:space="0"/>
                    <w:right w:val="single" w:color="auto" w:sz="4" w:space="0"/>
                  </w:tcBorders>
                  <w:noWrap w:val="0"/>
                  <w:vAlign w:val="center"/>
                </w:tcPr>
                <w:p>
                  <w:pPr>
                    <w:jc w:val="center"/>
                    <w:rPr>
                      <w:rFonts w:ascii="微软雅黑" w:hAnsi="微软雅黑" w:eastAsia="微软雅黑" w:cs="宋体"/>
                      <w:b/>
                      <w:bCs/>
                    </w:rPr>
                  </w:pPr>
                  <w:r>
                    <w:rPr>
                      <w:rFonts w:hint="eastAsia" w:ascii="微软雅黑" w:hAnsi="微软雅黑" w:eastAsia="微软雅黑" w:cs="宋体"/>
                      <w:b/>
                      <w:bCs/>
                      <w:lang w:val="en-US" w:eastAsia="zh-CN"/>
                    </w:rPr>
                    <w:t>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0"/>
                  <w:vAlign w:val="center"/>
                </w:tcPr>
                <w:p>
                  <w:pPr>
                    <w:spacing w:line="480" w:lineRule="auto"/>
                    <w:rPr>
                      <w:rFonts w:hint="eastAsia"/>
                      <w:lang w:eastAsia="zh-CN"/>
                    </w:rPr>
                  </w:pPr>
                  <w:r>
                    <w:rPr>
                      <w:rFonts w:hint="eastAsia"/>
                      <w:lang w:eastAsia="zh-CN"/>
                    </w:rPr>
                    <w:t>1</w:t>
                  </w:r>
                </w:p>
              </w:tc>
              <w:tc>
                <w:tcPr>
                  <w:tcW w:w="2044" w:type="dxa"/>
                  <w:tcBorders>
                    <w:top w:val="single" w:color="auto" w:sz="4" w:space="0"/>
                    <w:left w:val="nil"/>
                    <w:bottom w:val="single" w:color="auto" w:sz="4" w:space="0"/>
                    <w:right w:val="single" w:color="auto" w:sz="4" w:space="0"/>
                  </w:tcBorders>
                  <w:noWrap w:val="0"/>
                  <w:vAlign w:val="center"/>
                </w:tcPr>
                <w:p>
                  <w:pPr>
                    <w:rPr>
                      <w:rFonts w:ascii="华文细黑" w:hAnsi="华文细黑" w:eastAsia="华文细黑" w:cs="宋体"/>
                    </w:rPr>
                  </w:pPr>
                  <w:r>
                    <w:rPr>
                      <w:rFonts w:hint="eastAsia" w:ascii="华文细黑" w:hAnsi="华文细黑" w:eastAsia="华文细黑" w:cs="宋体"/>
                      <w:bCs/>
                      <w:color w:val="000000"/>
                    </w:rPr>
                    <w:t>顾客满意度≥90%。</w:t>
                  </w:r>
                </w:p>
              </w:tc>
              <w:tc>
                <w:tcPr>
                  <w:tcW w:w="2685" w:type="dxa"/>
                  <w:tcBorders>
                    <w:top w:val="single" w:color="auto" w:sz="4" w:space="0"/>
                    <w:left w:val="nil"/>
                    <w:bottom w:val="single" w:color="auto" w:sz="4" w:space="0"/>
                    <w:right w:val="single" w:color="auto" w:sz="4" w:space="0"/>
                  </w:tcBorders>
                  <w:noWrap w:val="0"/>
                  <w:vAlign w:val="center"/>
                </w:tcPr>
                <w:p>
                  <w:pPr>
                    <w:rPr>
                      <w:rFonts w:ascii="华文细黑" w:hAnsi="华文细黑" w:eastAsia="华文细黑" w:cs="宋体"/>
                      <w:lang w:eastAsia="zh-CN"/>
                    </w:rPr>
                  </w:pPr>
                  <w:r>
                    <w:rPr>
                      <w:rFonts w:hint="eastAsia" w:ascii="华文细黑" w:hAnsi="华文细黑" w:eastAsia="华文细黑"/>
                      <w:color w:val="000000"/>
                      <w:lang w:eastAsia="zh-CN"/>
                    </w:rPr>
                    <w:t>顾客满意度</w:t>
                  </w:r>
                  <w:r>
                    <w:rPr>
                      <w:rFonts w:ascii="华文细黑" w:hAnsi="华文细黑" w:eastAsia="华文细黑"/>
                      <w:color w:val="000000"/>
                      <w:lang w:eastAsia="zh-CN"/>
                    </w:rPr>
                    <w:t>=</w:t>
                  </w:r>
                  <w:r>
                    <w:rPr>
                      <w:rFonts w:hint="eastAsia" w:ascii="华文细黑" w:hAnsi="华文细黑" w:eastAsia="华文细黑"/>
                      <w:color w:val="000000"/>
                      <w:lang w:eastAsia="zh-CN"/>
                    </w:rPr>
                    <w:t>9/10×100%</w:t>
                  </w:r>
                </w:p>
              </w:tc>
              <w:tc>
                <w:tcPr>
                  <w:tcW w:w="894" w:type="dxa"/>
                  <w:noWrap w:val="0"/>
                  <w:vAlign w:val="center"/>
                </w:tcPr>
                <w:p>
                  <w:pPr>
                    <w:spacing w:line="480" w:lineRule="auto"/>
                    <w:jc w:val="center"/>
                    <w:rPr>
                      <w:rFonts w:hint="eastAsia" w:ascii="华文细黑" w:hAnsi="华文细黑" w:eastAsia="华文细黑" w:cs="宋体"/>
                      <w:lang w:eastAsia="zh-CN"/>
                    </w:rPr>
                  </w:pPr>
                  <w:r>
                    <w:rPr>
                      <w:rFonts w:hint="eastAsia" w:ascii="华文细黑" w:hAnsi="华文细黑" w:eastAsia="华文细黑" w:cs="宋体"/>
                      <w:lang w:eastAsia="zh-CN"/>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0"/>
                  <w:vAlign w:val="center"/>
                </w:tcPr>
                <w:p>
                  <w:pPr>
                    <w:spacing w:line="480" w:lineRule="auto"/>
                    <w:rPr>
                      <w:rFonts w:hint="eastAsia"/>
                      <w:lang w:eastAsia="zh-CN"/>
                    </w:rPr>
                  </w:pPr>
                  <w:r>
                    <w:rPr>
                      <w:rFonts w:hint="eastAsia"/>
                      <w:lang w:eastAsia="zh-CN"/>
                    </w:rPr>
                    <w:t>2</w:t>
                  </w:r>
                </w:p>
              </w:tc>
              <w:tc>
                <w:tcPr>
                  <w:tcW w:w="2044" w:type="dxa"/>
                  <w:tcBorders>
                    <w:top w:val="single" w:color="auto" w:sz="4" w:space="0"/>
                    <w:left w:val="nil"/>
                    <w:right w:val="single" w:color="auto" w:sz="4" w:space="0"/>
                  </w:tcBorders>
                  <w:noWrap w:val="0"/>
                  <w:vAlign w:val="center"/>
                </w:tcPr>
                <w:p>
                  <w:pPr>
                    <w:rPr>
                      <w:rFonts w:ascii="华文细黑" w:hAnsi="华文细黑" w:eastAsia="华文细黑" w:cs="宋体"/>
                      <w:lang w:eastAsia="zh-CN"/>
                    </w:rPr>
                  </w:pPr>
                  <w:r>
                    <w:rPr>
                      <w:rFonts w:hint="eastAsia" w:ascii="华文细黑" w:hAnsi="华文细黑" w:eastAsia="华文细黑" w:cs="宋体"/>
                      <w:lang w:eastAsia="zh-CN"/>
                    </w:rPr>
                    <w:t>顾客信息反馈及时处理率100%</w:t>
                  </w:r>
                </w:p>
              </w:tc>
              <w:tc>
                <w:tcPr>
                  <w:tcW w:w="2685" w:type="dxa"/>
                  <w:tcBorders>
                    <w:top w:val="single" w:color="auto" w:sz="4" w:space="0"/>
                    <w:left w:val="nil"/>
                    <w:right w:val="single" w:color="auto" w:sz="4" w:space="0"/>
                  </w:tcBorders>
                  <w:noWrap w:val="0"/>
                  <w:vAlign w:val="center"/>
                </w:tcPr>
                <w:p>
                  <w:pPr>
                    <w:rPr>
                      <w:rFonts w:ascii="华文细黑" w:hAnsi="华文细黑" w:eastAsia="华文细黑" w:cs="宋体"/>
                      <w:lang w:eastAsia="zh-CN"/>
                    </w:rPr>
                  </w:pPr>
                  <w:r>
                    <w:rPr>
                      <w:rFonts w:hint="eastAsia" w:ascii="华文细黑" w:hAnsi="华文细黑" w:eastAsia="华文细黑" w:cs="宋体"/>
                      <w:lang w:eastAsia="zh-CN"/>
                    </w:rPr>
                    <w:t>及时处理率</w:t>
                  </w:r>
                  <w:r>
                    <w:rPr>
                      <w:rFonts w:ascii="华文细黑" w:hAnsi="华文细黑" w:eastAsia="华文细黑" w:cs="宋体"/>
                      <w:lang w:eastAsia="zh-CN"/>
                    </w:rPr>
                    <w:t>=</w:t>
                  </w:r>
                  <w:r>
                    <w:rPr>
                      <w:rFonts w:hint="eastAsia" w:ascii="华文细黑" w:hAnsi="华文细黑" w:eastAsia="华文细黑" w:cs="宋体"/>
                      <w:lang w:eastAsia="zh-CN"/>
                    </w:rPr>
                    <w:t>3/3×</w:t>
                  </w:r>
                  <w:r>
                    <w:rPr>
                      <w:rFonts w:ascii="华文细黑" w:hAnsi="华文细黑" w:eastAsia="华文细黑" w:cs="宋体"/>
                      <w:lang w:eastAsia="zh-CN"/>
                    </w:rPr>
                    <w:t>100%</w:t>
                  </w:r>
                </w:p>
              </w:tc>
              <w:tc>
                <w:tcPr>
                  <w:tcW w:w="894" w:type="dxa"/>
                  <w:noWrap w:val="0"/>
                  <w:vAlign w:val="center"/>
                </w:tcPr>
                <w:p>
                  <w:pPr>
                    <w:spacing w:line="480" w:lineRule="auto"/>
                    <w:jc w:val="center"/>
                    <w:rPr>
                      <w:rFonts w:hint="eastAsia" w:ascii="华文细黑" w:hAnsi="华文细黑" w:eastAsia="华文细黑" w:cs="宋体"/>
                      <w:lang w:eastAsia="zh-CN"/>
                    </w:rPr>
                  </w:pPr>
                  <w:r>
                    <w:rPr>
                      <w:rFonts w:hint="eastAsia" w:ascii="华文细黑" w:hAnsi="华文细黑" w:eastAsia="华文细黑" w:cs="宋体"/>
                      <w:lang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0"/>
                  <w:vAlign w:val="center"/>
                </w:tcPr>
                <w:p>
                  <w:pPr>
                    <w:spacing w:line="480" w:lineRule="auto"/>
                    <w:rPr>
                      <w:rFonts w:hint="default"/>
                      <w:lang w:val="en-US" w:eastAsia="zh-CN"/>
                    </w:rPr>
                  </w:pPr>
                  <w:r>
                    <w:rPr>
                      <w:rFonts w:hint="eastAsia"/>
                      <w:lang w:val="en-US" w:eastAsia="zh-CN"/>
                    </w:rPr>
                    <w:t>3</w:t>
                  </w:r>
                </w:p>
              </w:tc>
              <w:tc>
                <w:tcPr>
                  <w:tcW w:w="2044" w:type="dxa"/>
                  <w:tcBorders>
                    <w:top w:val="single" w:color="auto" w:sz="4" w:space="0"/>
                    <w:left w:val="nil"/>
                    <w:right w:val="single" w:color="auto" w:sz="4" w:space="0"/>
                  </w:tcBorders>
                  <w:noWrap w:val="0"/>
                  <w:vAlign w:val="center"/>
                </w:tcPr>
                <w:p>
                  <w:pPr>
                    <w:rPr>
                      <w:rFonts w:hint="eastAsia" w:ascii="华文细黑" w:hAnsi="华文细黑" w:eastAsia="华文细黑" w:cs="宋体"/>
                      <w:lang w:eastAsia="zh-CN"/>
                    </w:rPr>
                  </w:pPr>
                  <w:r>
                    <w:rPr>
                      <w:rFonts w:hint="eastAsia" w:ascii="华文细黑" w:hAnsi="华文细黑" w:eastAsia="华文细黑" w:cs="宋体"/>
                      <w:lang w:eastAsia="zh-CN"/>
                    </w:rPr>
                    <w:t>合格供方选用率≥</w:t>
                  </w:r>
                  <w:r>
                    <w:rPr>
                      <w:rFonts w:ascii="华文细黑" w:hAnsi="华文细黑" w:eastAsia="华文细黑" w:cs="宋体"/>
                      <w:lang w:eastAsia="zh-CN"/>
                    </w:rPr>
                    <w:t>9</w:t>
                  </w:r>
                  <w:r>
                    <w:rPr>
                      <w:rFonts w:hint="eastAsia" w:ascii="华文细黑" w:hAnsi="华文细黑" w:eastAsia="华文细黑" w:cs="宋体"/>
                      <w:lang w:eastAsia="zh-CN"/>
                    </w:rPr>
                    <w:t>0%</w:t>
                  </w:r>
                </w:p>
              </w:tc>
              <w:tc>
                <w:tcPr>
                  <w:tcW w:w="2685" w:type="dxa"/>
                  <w:tcBorders>
                    <w:top w:val="single" w:color="auto" w:sz="4" w:space="0"/>
                    <w:left w:val="nil"/>
                    <w:right w:val="single" w:color="auto" w:sz="4" w:space="0"/>
                  </w:tcBorders>
                  <w:noWrap w:val="0"/>
                  <w:vAlign w:val="center"/>
                </w:tcPr>
                <w:p>
                  <w:pPr>
                    <w:rPr>
                      <w:rFonts w:hint="eastAsia" w:ascii="华文细黑" w:hAnsi="华文细黑" w:eastAsia="华文细黑" w:cs="宋体"/>
                      <w:lang w:eastAsia="zh-CN"/>
                    </w:rPr>
                  </w:pPr>
                  <w:r>
                    <w:rPr>
                      <w:rFonts w:hint="eastAsia" w:ascii="华文细黑" w:hAnsi="华文细黑" w:eastAsia="华文细黑" w:cs="宋体"/>
                      <w:lang w:eastAsia="zh-CN"/>
                    </w:rPr>
                    <w:t>选用率</w:t>
                  </w:r>
                  <w:r>
                    <w:rPr>
                      <w:rFonts w:ascii="华文细黑" w:hAnsi="华文细黑" w:eastAsia="华文细黑" w:cs="宋体"/>
                      <w:lang w:eastAsia="zh-CN"/>
                    </w:rPr>
                    <w:t>=</w:t>
                  </w:r>
                  <w:r>
                    <w:rPr>
                      <w:rFonts w:hint="eastAsia" w:ascii="华文细黑" w:hAnsi="华文细黑" w:eastAsia="华文细黑" w:cs="宋体"/>
                      <w:lang w:eastAsia="zh-CN"/>
                    </w:rPr>
                    <w:t>5/5×100%</w:t>
                  </w:r>
                </w:p>
              </w:tc>
              <w:tc>
                <w:tcPr>
                  <w:tcW w:w="894" w:type="dxa"/>
                  <w:noWrap w:val="0"/>
                  <w:vAlign w:val="center"/>
                </w:tcPr>
                <w:p>
                  <w:pPr>
                    <w:spacing w:line="480" w:lineRule="auto"/>
                    <w:jc w:val="center"/>
                    <w:rPr>
                      <w:rFonts w:hint="eastAsia" w:ascii="华文细黑" w:hAnsi="华文细黑" w:eastAsia="华文细黑" w:cs="宋体"/>
                      <w:lang w:eastAsia="zh-CN"/>
                    </w:rPr>
                  </w:pPr>
                  <w:r>
                    <w:rPr>
                      <w:rFonts w:hint="eastAsia" w:ascii="华文细黑" w:hAnsi="华文细黑" w:eastAsia="华文细黑" w:cs="宋体"/>
                      <w:lang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0"/>
                  <w:vAlign w:val="center"/>
                </w:tcPr>
                <w:p>
                  <w:pPr>
                    <w:spacing w:line="480" w:lineRule="auto"/>
                    <w:rPr>
                      <w:rFonts w:hint="eastAsia"/>
                      <w:lang w:eastAsia="zh-CN"/>
                    </w:rPr>
                  </w:pPr>
                  <w:r>
                    <w:rPr>
                      <w:rFonts w:hint="eastAsia"/>
                      <w:lang w:val="en-US" w:eastAsia="zh-CN"/>
                    </w:rPr>
                    <w:t>4</w:t>
                  </w:r>
                </w:p>
              </w:tc>
              <w:tc>
                <w:tcPr>
                  <w:tcW w:w="2044" w:type="dxa"/>
                  <w:tcBorders>
                    <w:top w:val="single" w:color="auto" w:sz="4" w:space="0"/>
                    <w:left w:val="nil"/>
                    <w:bottom w:val="single" w:color="auto" w:sz="4" w:space="0"/>
                    <w:right w:val="single" w:color="auto" w:sz="4" w:space="0"/>
                  </w:tcBorders>
                  <w:noWrap w:val="0"/>
                  <w:vAlign w:val="center"/>
                </w:tcPr>
                <w:p>
                  <w:pPr>
                    <w:rPr>
                      <w:rFonts w:ascii="华文细黑" w:hAnsi="华文细黑" w:eastAsia="华文细黑" w:cs="宋体"/>
                      <w:szCs w:val="24"/>
                      <w:lang w:eastAsia="zh-CN"/>
                    </w:rPr>
                  </w:pPr>
                  <w:r>
                    <w:rPr>
                      <w:rFonts w:hint="eastAsia" w:ascii="华文细黑" w:hAnsi="华文细黑" w:eastAsia="华文细黑" w:cs="宋体"/>
                      <w:szCs w:val="24"/>
                      <w:lang w:eastAsia="zh-CN"/>
                    </w:rPr>
                    <w:t>固体废弃物分类处量率100%</w:t>
                  </w:r>
                </w:p>
              </w:tc>
              <w:tc>
                <w:tcPr>
                  <w:tcW w:w="2685" w:type="dxa"/>
                  <w:tcBorders>
                    <w:top w:val="single" w:color="auto" w:sz="4" w:space="0"/>
                    <w:left w:val="nil"/>
                    <w:bottom w:val="single" w:color="auto" w:sz="4" w:space="0"/>
                    <w:right w:val="single" w:color="auto" w:sz="4" w:space="0"/>
                  </w:tcBorders>
                  <w:noWrap w:val="0"/>
                  <w:vAlign w:val="center"/>
                </w:tcPr>
                <w:p>
                  <w:pPr>
                    <w:rPr>
                      <w:rFonts w:ascii="华文细黑" w:hAnsi="华文细黑" w:eastAsia="华文细黑" w:cs="宋体"/>
                      <w:szCs w:val="24"/>
                    </w:rPr>
                  </w:pPr>
                  <w:r>
                    <w:rPr>
                      <w:rFonts w:hint="eastAsia" w:ascii="华文细黑" w:hAnsi="华文细黑" w:eastAsia="华文细黑" w:cs="宋体"/>
                      <w:szCs w:val="24"/>
                      <w:lang w:eastAsia="zh-CN"/>
                    </w:rPr>
                    <w:t>5</w:t>
                  </w:r>
                  <w:r>
                    <w:rPr>
                      <w:rFonts w:hint="eastAsia" w:ascii="华文细黑" w:hAnsi="华文细黑" w:eastAsia="华文细黑" w:cs="宋体"/>
                      <w:szCs w:val="24"/>
                    </w:rPr>
                    <w:t>/</w:t>
                  </w:r>
                  <w:r>
                    <w:rPr>
                      <w:rFonts w:hint="eastAsia" w:ascii="华文细黑" w:hAnsi="华文细黑" w:eastAsia="华文细黑" w:cs="宋体"/>
                      <w:szCs w:val="24"/>
                      <w:lang w:eastAsia="zh-CN"/>
                    </w:rPr>
                    <w:t>5</w:t>
                  </w:r>
                  <w:r>
                    <w:rPr>
                      <w:rFonts w:hint="eastAsia" w:ascii="华文细黑" w:hAnsi="华文细黑" w:eastAsia="华文细黑" w:cs="宋体"/>
                      <w:szCs w:val="24"/>
                    </w:rPr>
                    <w:t>×</w:t>
                  </w:r>
                  <w:r>
                    <w:rPr>
                      <w:rFonts w:ascii="华文细黑" w:hAnsi="华文细黑" w:eastAsia="华文细黑" w:cs="宋体"/>
                      <w:szCs w:val="24"/>
                    </w:rPr>
                    <w:t>100%</w:t>
                  </w:r>
                </w:p>
              </w:tc>
              <w:tc>
                <w:tcPr>
                  <w:tcW w:w="894" w:type="dxa"/>
                  <w:noWrap w:val="0"/>
                  <w:vAlign w:val="top"/>
                </w:tcPr>
                <w:p>
                  <w:pPr>
                    <w:jc w:val="center"/>
                    <w:rPr>
                      <w:rFonts w:hint="eastAsia"/>
                      <w:lang w:eastAsia="zh-CN"/>
                    </w:rPr>
                  </w:pPr>
                  <w:r>
                    <w:rPr>
                      <w:rFonts w:hint="eastAsia"/>
                      <w:lang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0"/>
                  <w:vAlign w:val="center"/>
                </w:tcPr>
                <w:p>
                  <w:pPr>
                    <w:spacing w:line="480" w:lineRule="auto"/>
                    <w:rPr>
                      <w:rFonts w:hint="eastAsia"/>
                      <w:lang w:eastAsia="zh-CN"/>
                    </w:rPr>
                  </w:pPr>
                  <w:r>
                    <w:rPr>
                      <w:rFonts w:hint="eastAsia"/>
                      <w:lang w:val="en-US" w:eastAsia="zh-CN"/>
                    </w:rPr>
                    <w:t>5</w:t>
                  </w:r>
                </w:p>
              </w:tc>
              <w:tc>
                <w:tcPr>
                  <w:tcW w:w="2044" w:type="dxa"/>
                  <w:tcBorders>
                    <w:top w:val="single" w:color="auto" w:sz="4" w:space="0"/>
                    <w:left w:val="nil"/>
                    <w:bottom w:val="single" w:color="auto" w:sz="4" w:space="0"/>
                    <w:right w:val="single" w:color="auto" w:sz="4" w:space="0"/>
                  </w:tcBorders>
                  <w:noWrap w:val="0"/>
                  <w:vAlign w:val="center"/>
                </w:tcPr>
                <w:p>
                  <w:pPr>
                    <w:rPr>
                      <w:rFonts w:ascii="华文细黑" w:hAnsi="华文细黑" w:eastAsia="华文细黑" w:cs="宋体"/>
                      <w:szCs w:val="24"/>
                    </w:rPr>
                  </w:pPr>
                  <w:r>
                    <w:rPr>
                      <w:rFonts w:hint="eastAsia" w:ascii="华文细黑" w:hAnsi="华文细黑" w:eastAsia="华文细黑" w:cs="宋体"/>
                      <w:szCs w:val="24"/>
                    </w:rPr>
                    <w:t>火灾发生率为0</w:t>
                  </w:r>
                </w:p>
              </w:tc>
              <w:tc>
                <w:tcPr>
                  <w:tcW w:w="2685" w:type="dxa"/>
                  <w:tcBorders>
                    <w:top w:val="single" w:color="auto" w:sz="4" w:space="0"/>
                    <w:left w:val="nil"/>
                    <w:bottom w:val="single" w:color="auto" w:sz="4" w:space="0"/>
                    <w:right w:val="single" w:color="auto" w:sz="4" w:space="0"/>
                  </w:tcBorders>
                  <w:noWrap w:val="0"/>
                  <w:vAlign w:val="center"/>
                </w:tcPr>
                <w:p>
                  <w:pPr>
                    <w:rPr>
                      <w:rFonts w:ascii="华文细黑" w:hAnsi="华文细黑" w:eastAsia="华文细黑" w:cs="宋体"/>
                      <w:szCs w:val="24"/>
                      <w:lang w:eastAsia="zh-CN"/>
                    </w:rPr>
                  </w:pPr>
                  <w:r>
                    <w:rPr>
                      <w:rFonts w:hint="eastAsia" w:ascii="华文细黑" w:hAnsi="华文细黑" w:eastAsia="华文细黑" w:cs="宋体"/>
                      <w:szCs w:val="24"/>
                      <w:lang w:eastAsia="zh-CN"/>
                    </w:rPr>
                    <w:t>每月对火灾隐患进行检查，发现问题及时处理。</w:t>
                  </w:r>
                </w:p>
              </w:tc>
              <w:tc>
                <w:tcPr>
                  <w:tcW w:w="894" w:type="dxa"/>
                  <w:noWrap w:val="0"/>
                  <w:vAlign w:val="top"/>
                </w:tcPr>
                <w:p>
                  <w:pPr>
                    <w:jc w:val="center"/>
                    <w:rPr>
                      <w:rFonts w:ascii="微软雅黑" w:hAnsi="微软雅黑" w:eastAsia="微软雅黑"/>
                    </w:rPr>
                  </w:pPr>
                  <w:r>
                    <w:rPr>
                      <w:rFonts w:hint="eastAsia" w:ascii="微软雅黑" w:hAnsi="微软雅黑" w:eastAsia="微软雅黑"/>
                      <w:lang w:eastAsia="zh-CN"/>
                    </w:rPr>
                    <w:t>无火灾发生</w:t>
                  </w:r>
                </w:p>
              </w:tc>
            </w:tr>
          </w:tbl>
          <w:p>
            <w:pPr>
              <w:spacing w:line="360" w:lineRule="auto"/>
              <w:ind w:firstLine="420" w:firstLineChars="200"/>
              <w:rPr>
                <w:rFonts w:hint="default"/>
                <w:szCs w:val="22"/>
                <w:lang w:val="en-US" w:eastAsia="zh-CN"/>
              </w:rPr>
            </w:pPr>
            <w:r>
              <w:rPr>
                <w:rFonts w:hint="eastAsia"/>
                <w:szCs w:val="22"/>
                <w:lang w:val="en-US" w:eastAsia="zh-CN"/>
              </w:rPr>
              <w:t>统计时间：2019.10.3      统计人：王辉</w:t>
            </w:r>
          </w:p>
        </w:tc>
        <w:tc>
          <w:tcPr>
            <w:tcW w:w="624" w:type="dxa"/>
          </w:tcPr>
          <w:p>
            <w:pPr>
              <w:pStyle w:val="2"/>
              <w:rPr>
                <w:rFonts w:hint="eastAsia"/>
                <w:lang w:val="en-US" w:eastAsia="zh-CN"/>
              </w:rPr>
            </w:pPr>
          </w:p>
          <w:p>
            <w:pPr>
              <w:pStyle w:val="2"/>
              <w:ind w:firstLine="230" w:firstLineChars="100"/>
              <w:rPr>
                <w:rFonts w:hint="eastAsia"/>
                <w:lang w:val="en-US" w:eastAsia="zh-CN"/>
              </w:rPr>
            </w:pPr>
          </w:p>
          <w:p>
            <w:pPr>
              <w:pStyle w:val="2"/>
              <w:ind w:firstLine="230" w:firstLineChars="100"/>
              <w:rPr>
                <w:rFonts w:hint="eastAsia"/>
                <w:lang w:val="en-US" w:eastAsia="zh-CN"/>
              </w:rPr>
            </w:pPr>
          </w:p>
          <w:p>
            <w:pPr>
              <w:pStyle w:val="2"/>
              <w:ind w:firstLine="230" w:firstLineChars="100"/>
              <w:rPr>
                <w:rFonts w:hint="eastAsia"/>
                <w:lang w:val="en-US" w:eastAsia="zh-CN"/>
              </w:rPr>
            </w:pPr>
          </w:p>
          <w:p>
            <w:pPr>
              <w:pStyle w:val="2"/>
              <w:ind w:firstLine="230" w:firstLineChars="100"/>
              <w:rPr>
                <w:rFonts w:hint="eastAsia"/>
                <w:lang w:val="en-US" w:eastAsia="zh-CN"/>
              </w:rPr>
            </w:pPr>
          </w:p>
          <w:p>
            <w:pPr>
              <w:pStyle w:val="2"/>
              <w:ind w:firstLine="230" w:firstLineChars="100"/>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221" w:type="dxa"/>
          </w:tcPr>
          <w:p>
            <w:pPr>
              <w:keepNext w:val="0"/>
              <w:keepLines w:val="0"/>
              <w:widowControl/>
              <w:suppressLineNumbers w:val="0"/>
              <w:jc w:val="left"/>
              <w:rPr>
                <w:rFonts w:hint="default" w:ascii="Times New Roman" w:hAnsi="Times New Roman" w:cs="Times New Roman"/>
                <w:sz w:val="24"/>
                <w:szCs w:val="22"/>
                <w:lang w:val="en-US" w:eastAsia="zh-CN"/>
              </w:rPr>
            </w:pPr>
            <w:r>
              <w:rPr>
                <w:rFonts w:hint="eastAsia" w:ascii="Times New Roman" w:hAnsi="Times New Roman" w:cs="Times New Roman"/>
                <w:sz w:val="24"/>
                <w:szCs w:val="22"/>
                <w:lang w:val="en-US" w:eastAsia="zh-CN"/>
              </w:rPr>
              <w:t>运行的策划和控制</w:t>
            </w:r>
          </w:p>
        </w:tc>
        <w:tc>
          <w:tcPr>
            <w:tcW w:w="788" w:type="dxa"/>
          </w:tcPr>
          <w:p>
            <w:pPr>
              <w:pStyle w:val="2"/>
              <w:rPr>
                <w:rFonts w:hint="default" w:ascii="Times New Roman" w:hAnsi="Times New Roman" w:cs="Times New Roman"/>
                <w:color w:val="0000FF"/>
                <w:sz w:val="24"/>
                <w:szCs w:val="22"/>
                <w:lang w:val="en-US" w:eastAsia="zh-CN"/>
              </w:rPr>
            </w:pPr>
            <w:r>
              <w:rPr>
                <w:rFonts w:hint="eastAsia" w:ascii="Times New Roman" w:hAnsi="Times New Roman" w:cs="Times New Roman"/>
                <w:color w:val="0000FF"/>
                <w:sz w:val="24"/>
                <w:szCs w:val="22"/>
                <w:lang w:val="en-US" w:eastAsia="zh-CN"/>
              </w:rPr>
              <w:t>EO8.1</w:t>
            </w:r>
          </w:p>
        </w:tc>
        <w:tc>
          <w:tcPr>
            <w:tcW w:w="7258" w:type="dxa"/>
          </w:tcPr>
          <w:p>
            <w:pPr>
              <w:spacing w:line="360" w:lineRule="auto"/>
              <w:ind w:firstLine="420" w:firstLineChars="200"/>
              <w:rPr>
                <w:rFonts w:hint="eastAsia"/>
                <w:szCs w:val="22"/>
                <w:lang w:val="en-US" w:eastAsia="zh-CN"/>
              </w:rPr>
            </w:pPr>
            <w:r>
              <w:rPr>
                <w:rFonts w:hint="eastAsia"/>
                <w:szCs w:val="22"/>
                <w:lang w:val="en-US" w:eastAsia="zh-CN"/>
              </w:rPr>
              <w:t>总经理指导各部门组织相关部门对服务实现、环境运行控制所需的过程及子过程的顺序和相互关系进行策划，并对服务提供的过程、重要环境因素有关的运行和活动进行控制，确保管理方针、目标、指标的实现。策划确定下列内容：a）应达到的质量、环境目标、指标要求；b）针对服务确定过程及重要环境因素，并建立销售服务所需要的文件，以及所需提供的资源和设施；c）依据服务实现过程和活动的特点，确定验证、确认、监视、测量和检验需求的活动以及接收准则；d）保存服务实现过程和活动满足规定要求的记录；</w:t>
            </w:r>
          </w:p>
          <w:p>
            <w:pPr>
              <w:spacing w:line="360" w:lineRule="auto"/>
              <w:ind w:firstLine="420" w:firstLineChars="200"/>
              <w:rPr>
                <w:rFonts w:hint="default"/>
                <w:szCs w:val="22"/>
                <w:lang w:val="en-US" w:eastAsia="zh-CN"/>
              </w:rPr>
            </w:pPr>
            <w:r>
              <w:rPr>
                <w:rFonts w:hint="eastAsia"/>
                <w:szCs w:val="22"/>
                <w:lang w:val="en-US" w:eastAsia="zh-CN"/>
              </w:rPr>
              <w:t>公司的环境因素为办公用废纸由回收公司进行回收、硒鼓由供应商进行回收，以旧换新。</w:t>
            </w:r>
          </w:p>
          <w:p>
            <w:pPr>
              <w:spacing w:line="360" w:lineRule="auto"/>
              <w:ind w:firstLine="420" w:firstLineChars="200"/>
              <w:rPr>
                <w:rFonts w:hint="eastAsia"/>
                <w:szCs w:val="22"/>
                <w:lang w:val="en-US" w:eastAsia="zh-CN"/>
              </w:rPr>
            </w:pPr>
            <w:r>
              <w:rPr>
                <w:rFonts w:hint="eastAsia"/>
                <w:szCs w:val="22"/>
                <w:lang w:val="en-US" w:eastAsia="zh-CN"/>
              </w:rPr>
              <w:t>抽查-固体废物处理记录   编号：JL-7.7-03</w:t>
            </w:r>
          </w:p>
          <w:p>
            <w:pPr>
              <w:spacing w:line="360" w:lineRule="auto"/>
              <w:ind w:firstLine="420" w:firstLineChars="200"/>
              <w:rPr>
                <w:rFonts w:hint="eastAsia"/>
                <w:szCs w:val="22"/>
                <w:lang w:val="en-US" w:eastAsia="zh-CN"/>
              </w:rPr>
            </w:pPr>
            <w:r>
              <w:rPr>
                <w:rFonts w:hint="eastAsia"/>
                <w:szCs w:val="22"/>
                <w:lang w:val="en-US" w:eastAsia="zh-CN"/>
              </w:rPr>
              <w:t>时间2020.6.10 废纸  1.5Kg 处理方式：物业公司回收。</w:t>
            </w:r>
          </w:p>
          <w:p>
            <w:pPr>
              <w:spacing w:line="360" w:lineRule="auto"/>
              <w:ind w:firstLine="420" w:firstLineChars="200"/>
              <w:rPr>
                <w:rFonts w:hint="eastAsia"/>
                <w:szCs w:val="22"/>
                <w:lang w:val="en-US" w:eastAsia="zh-CN"/>
              </w:rPr>
            </w:pPr>
            <w:r>
              <w:rPr>
                <w:rFonts w:hint="eastAsia"/>
                <w:szCs w:val="22"/>
                <w:lang w:val="en-US" w:eastAsia="zh-CN"/>
              </w:rPr>
              <w:t>时间2020.5.15硒鼓  1个 处理方式：供应商以旧换新。</w:t>
            </w:r>
          </w:p>
          <w:p>
            <w:pPr>
              <w:spacing w:line="360" w:lineRule="auto"/>
              <w:ind w:firstLine="420" w:firstLineChars="200"/>
              <w:rPr>
                <w:rFonts w:hint="eastAsia"/>
                <w:szCs w:val="22"/>
                <w:lang w:val="en-US" w:eastAsia="zh-CN"/>
              </w:rPr>
            </w:pPr>
            <w:r>
              <w:rPr>
                <w:rFonts w:hint="eastAsia"/>
                <w:szCs w:val="22"/>
                <w:lang w:val="en-US" w:eastAsia="zh-CN"/>
              </w:rPr>
              <w:t xml:space="preserve">   在风险控制方面策划了：风险和机遇控制程序、环境绩效检测控制程序管理制度、应急准备及响应程序等。</w:t>
            </w:r>
          </w:p>
          <w:p>
            <w:pPr>
              <w:spacing w:line="360" w:lineRule="auto"/>
              <w:ind w:firstLine="420" w:firstLineChars="200"/>
              <w:rPr>
                <w:rFonts w:hint="eastAsia"/>
                <w:szCs w:val="22"/>
                <w:lang w:val="en-US" w:eastAsia="zh-CN"/>
              </w:rPr>
            </w:pPr>
            <w:r>
              <w:rPr>
                <w:rFonts w:hint="eastAsia"/>
                <w:szCs w:val="22"/>
                <w:lang w:val="en-US" w:eastAsia="zh-CN"/>
              </w:rPr>
              <w:t>1、查看《环境检查记录表》。</w:t>
            </w:r>
          </w:p>
          <w:p>
            <w:pPr>
              <w:spacing w:line="360" w:lineRule="auto"/>
              <w:ind w:firstLine="420" w:firstLineChars="200"/>
              <w:rPr>
                <w:rFonts w:hint="eastAsia"/>
                <w:szCs w:val="22"/>
                <w:lang w:val="en-US" w:eastAsia="zh-CN"/>
              </w:rPr>
            </w:pPr>
            <w:r>
              <w:rPr>
                <w:rFonts w:hint="eastAsia"/>
                <w:szCs w:val="22"/>
                <w:lang w:val="en-US" w:eastAsia="zh-CN"/>
              </w:rPr>
              <w:t>检查时间：2020年3月28日；</w:t>
            </w:r>
          </w:p>
          <w:p>
            <w:pPr>
              <w:spacing w:line="360" w:lineRule="auto"/>
              <w:ind w:firstLine="420" w:firstLineChars="200"/>
              <w:rPr>
                <w:rFonts w:hint="eastAsia"/>
                <w:szCs w:val="22"/>
                <w:lang w:val="en-US" w:eastAsia="zh-CN"/>
              </w:rPr>
            </w:pPr>
            <w:r>
              <w:rPr>
                <w:rFonts w:hint="eastAsia"/>
                <w:szCs w:val="22"/>
                <w:lang w:val="en-US" w:eastAsia="zh-CN"/>
              </w:rPr>
              <w:t>检查项目：办公废水、办公固废丢弃、水电消耗、安全检查、一般因素等。</w:t>
            </w:r>
          </w:p>
          <w:p>
            <w:pPr>
              <w:spacing w:line="360" w:lineRule="auto"/>
              <w:ind w:firstLine="420" w:firstLineChars="200"/>
              <w:rPr>
                <w:rFonts w:hint="eastAsia"/>
                <w:szCs w:val="22"/>
                <w:lang w:val="en-US" w:eastAsia="zh-CN"/>
              </w:rPr>
            </w:pPr>
            <w:r>
              <w:rPr>
                <w:rFonts w:hint="eastAsia"/>
                <w:szCs w:val="22"/>
                <w:lang w:val="en-US" w:eastAsia="zh-CN"/>
              </w:rPr>
              <w:t xml:space="preserve">  检查情况：销售业务方面没有问题。 </w:t>
            </w:r>
          </w:p>
          <w:p>
            <w:pPr>
              <w:spacing w:line="360" w:lineRule="auto"/>
              <w:ind w:firstLine="420" w:firstLineChars="200"/>
              <w:rPr>
                <w:rFonts w:hint="eastAsia"/>
                <w:szCs w:val="22"/>
                <w:lang w:val="en-US" w:eastAsia="zh-CN"/>
              </w:rPr>
            </w:pPr>
            <w:r>
              <w:rPr>
                <w:rFonts w:hint="eastAsia"/>
                <w:szCs w:val="22"/>
                <w:lang w:val="en-US" w:eastAsia="zh-CN"/>
              </w:rPr>
              <w:t xml:space="preserve">  检查人员：李颖   </w:t>
            </w:r>
          </w:p>
          <w:p>
            <w:pPr>
              <w:spacing w:line="360" w:lineRule="auto"/>
              <w:ind w:firstLine="420" w:firstLineChars="200"/>
              <w:rPr>
                <w:rFonts w:hint="eastAsia"/>
                <w:szCs w:val="22"/>
                <w:lang w:val="en-US" w:eastAsia="zh-CN"/>
              </w:rPr>
            </w:pPr>
            <w:r>
              <w:rPr>
                <w:rFonts w:hint="eastAsia"/>
                <w:szCs w:val="22"/>
                <w:lang w:val="en-US" w:eastAsia="zh-CN"/>
              </w:rPr>
              <w:t>1、查环境安全检查情况统计表</w:t>
            </w:r>
          </w:p>
          <w:p>
            <w:pPr>
              <w:spacing w:line="360" w:lineRule="auto"/>
              <w:ind w:firstLine="420" w:firstLineChars="200"/>
              <w:rPr>
                <w:rFonts w:hint="eastAsia"/>
                <w:szCs w:val="22"/>
                <w:lang w:val="en-US" w:eastAsia="zh-CN"/>
              </w:rPr>
            </w:pPr>
            <w:r>
              <w:rPr>
                <w:rFonts w:hint="eastAsia"/>
                <w:szCs w:val="22"/>
                <w:lang w:val="en-US" w:eastAsia="zh-CN"/>
              </w:rPr>
              <w:t xml:space="preserve">  检查内容：办公室安全检查、办公室供电系统安全检查、办公室及办公区安全检查等。</w:t>
            </w:r>
          </w:p>
          <w:p>
            <w:pPr>
              <w:spacing w:line="360" w:lineRule="auto"/>
              <w:ind w:firstLine="420" w:firstLineChars="200"/>
              <w:rPr>
                <w:rFonts w:hint="eastAsia"/>
                <w:szCs w:val="22"/>
                <w:lang w:val="en-US" w:eastAsia="zh-CN"/>
              </w:rPr>
            </w:pPr>
            <w:r>
              <w:rPr>
                <w:rFonts w:hint="eastAsia"/>
                <w:szCs w:val="22"/>
                <w:lang w:val="en-US" w:eastAsia="zh-CN"/>
              </w:rPr>
              <w:t>检查结果及处理：生产现场安全问题，当即整改。</w:t>
            </w:r>
          </w:p>
          <w:p>
            <w:pPr>
              <w:spacing w:line="360" w:lineRule="auto"/>
              <w:ind w:firstLine="420" w:firstLineChars="200"/>
              <w:rPr>
                <w:rFonts w:hint="eastAsia"/>
                <w:szCs w:val="22"/>
                <w:lang w:val="en-US" w:eastAsia="zh-CN"/>
              </w:rPr>
            </w:pPr>
            <w:r>
              <w:rPr>
                <w:rFonts w:hint="eastAsia"/>
                <w:szCs w:val="22"/>
                <w:lang w:val="en-US" w:eastAsia="zh-CN"/>
              </w:rPr>
              <w:t>检查人：李颖</w:t>
            </w:r>
          </w:p>
          <w:p>
            <w:pPr>
              <w:spacing w:line="360" w:lineRule="auto"/>
              <w:ind w:firstLine="420" w:firstLineChars="200"/>
              <w:rPr>
                <w:rFonts w:hint="eastAsia"/>
                <w:szCs w:val="22"/>
                <w:lang w:val="en-US" w:eastAsia="zh-CN"/>
              </w:rPr>
            </w:pPr>
            <w:r>
              <w:rPr>
                <w:rFonts w:hint="eastAsia"/>
                <w:szCs w:val="22"/>
                <w:lang w:val="en-US" w:eastAsia="zh-CN"/>
              </w:rPr>
              <w:t>检查时间：2020年6月6日</w:t>
            </w:r>
          </w:p>
          <w:p>
            <w:pPr>
              <w:spacing w:line="360" w:lineRule="auto"/>
              <w:ind w:firstLine="420" w:firstLineChars="200"/>
              <w:rPr>
                <w:rFonts w:hint="eastAsia"/>
                <w:szCs w:val="22"/>
                <w:lang w:val="en-US" w:eastAsia="zh-CN"/>
              </w:rPr>
            </w:pPr>
            <w:r>
              <w:rPr>
                <w:rFonts w:hint="eastAsia"/>
                <w:szCs w:val="22"/>
                <w:lang w:val="en-US" w:eastAsia="zh-CN"/>
              </w:rPr>
              <w:t>4、查用电安全检查记录</w:t>
            </w:r>
          </w:p>
          <w:p>
            <w:pPr>
              <w:spacing w:line="360" w:lineRule="auto"/>
              <w:ind w:firstLine="420" w:firstLineChars="200"/>
              <w:rPr>
                <w:rFonts w:hint="default"/>
                <w:szCs w:val="22"/>
                <w:lang w:val="en-US" w:eastAsia="zh-CN"/>
              </w:rPr>
            </w:pPr>
            <w:r>
              <w:rPr>
                <w:rFonts w:hint="eastAsia"/>
                <w:szCs w:val="22"/>
                <w:lang w:val="en-US" w:eastAsia="zh-CN"/>
              </w:rPr>
              <w:t xml:space="preserve">  检查时间：2020.7.18</w:t>
            </w:r>
          </w:p>
          <w:p>
            <w:pPr>
              <w:spacing w:line="360" w:lineRule="auto"/>
              <w:ind w:firstLine="420" w:firstLineChars="200"/>
              <w:rPr>
                <w:rFonts w:hint="eastAsia"/>
                <w:szCs w:val="22"/>
                <w:lang w:val="en-US" w:eastAsia="zh-CN"/>
              </w:rPr>
            </w:pPr>
            <w:r>
              <w:rPr>
                <w:rFonts w:hint="eastAsia"/>
                <w:szCs w:val="22"/>
                <w:lang w:val="en-US" w:eastAsia="zh-CN"/>
              </w:rPr>
              <w:t xml:space="preserve">  检查内容：用电安全等7项。</w:t>
            </w:r>
          </w:p>
          <w:p>
            <w:pPr>
              <w:spacing w:line="360" w:lineRule="auto"/>
              <w:ind w:firstLine="420" w:firstLineChars="200"/>
              <w:rPr>
                <w:rFonts w:hint="eastAsia"/>
                <w:szCs w:val="22"/>
                <w:lang w:val="en-US" w:eastAsia="zh-CN"/>
              </w:rPr>
            </w:pPr>
            <w:r>
              <w:rPr>
                <w:rFonts w:hint="eastAsia"/>
                <w:szCs w:val="22"/>
                <w:lang w:val="en-US" w:eastAsia="zh-CN"/>
              </w:rPr>
              <w:t xml:space="preserve">  检查结果：合格</w:t>
            </w:r>
          </w:p>
          <w:p>
            <w:pPr>
              <w:spacing w:line="360" w:lineRule="auto"/>
              <w:ind w:firstLine="420" w:firstLineChars="200"/>
              <w:rPr>
                <w:rFonts w:hint="eastAsia"/>
                <w:szCs w:val="22"/>
                <w:lang w:val="en-US" w:eastAsia="zh-CN"/>
              </w:rPr>
            </w:pPr>
            <w:r>
              <w:rPr>
                <w:rFonts w:hint="eastAsia"/>
                <w:szCs w:val="22"/>
                <w:lang w:val="en-US" w:eastAsia="zh-CN"/>
              </w:rPr>
              <w:t xml:space="preserve">  检查人：李颖</w:t>
            </w:r>
          </w:p>
          <w:p>
            <w:pPr>
              <w:spacing w:line="360" w:lineRule="auto"/>
              <w:ind w:firstLine="420" w:firstLineChars="200"/>
              <w:rPr>
                <w:rFonts w:hint="eastAsia"/>
                <w:szCs w:val="22"/>
                <w:lang w:val="en-US" w:eastAsia="zh-CN"/>
              </w:rPr>
            </w:pPr>
            <w:r>
              <w:rPr>
                <w:rFonts w:hint="eastAsia"/>
                <w:szCs w:val="22"/>
                <w:lang w:val="en-US" w:eastAsia="zh-CN"/>
              </w:rPr>
              <w:t>5、查体系运行检查记录表</w:t>
            </w:r>
          </w:p>
          <w:p>
            <w:pPr>
              <w:spacing w:line="360" w:lineRule="auto"/>
              <w:ind w:firstLine="420" w:firstLineChars="200"/>
              <w:rPr>
                <w:rFonts w:hint="eastAsia"/>
                <w:szCs w:val="22"/>
                <w:lang w:val="en-US" w:eastAsia="zh-CN"/>
              </w:rPr>
            </w:pPr>
            <w:r>
              <w:rPr>
                <w:rFonts w:hint="eastAsia"/>
                <w:szCs w:val="22"/>
                <w:lang w:val="en-US" w:eastAsia="zh-CN"/>
              </w:rPr>
              <w:t xml:space="preserve">  检查内容：疫情期间职业健康安全保护用品（口罩）发放情况、职业健康教育情况、临时用电情况、物品存放、固体废物分类情况、现场垃圾排放情况、办公楼固体废物分类处置情况、灭火器配置情况等。</w:t>
            </w:r>
          </w:p>
          <w:p>
            <w:pPr>
              <w:spacing w:line="360" w:lineRule="auto"/>
              <w:ind w:firstLine="420" w:firstLineChars="200"/>
              <w:rPr>
                <w:rFonts w:hint="eastAsia"/>
                <w:szCs w:val="22"/>
                <w:lang w:val="en-US" w:eastAsia="zh-CN"/>
              </w:rPr>
            </w:pPr>
            <w:r>
              <w:rPr>
                <w:rFonts w:hint="eastAsia"/>
                <w:szCs w:val="22"/>
                <w:lang w:val="en-US" w:eastAsia="zh-CN"/>
              </w:rPr>
              <w:t>检查人：李颖</w:t>
            </w:r>
          </w:p>
          <w:p>
            <w:pPr>
              <w:spacing w:line="360" w:lineRule="auto"/>
              <w:ind w:firstLine="420" w:firstLineChars="200"/>
              <w:rPr>
                <w:rFonts w:hint="eastAsia"/>
                <w:szCs w:val="22"/>
                <w:lang w:val="en-US" w:eastAsia="zh-CN"/>
              </w:rPr>
            </w:pPr>
            <w:r>
              <w:rPr>
                <w:rFonts w:hint="eastAsia"/>
                <w:szCs w:val="22"/>
                <w:lang w:val="en-US" w:eastAsia="zh-CN"/>
              </w:rPr>
              <w:t>检查日期：2020年9月16日</w:t>
            </w:r>
          </w:p>
          <w:p>
            <w:pPr>
              <w:spacing w:line="360" w:lineRule="auto"/>
              <w:ind w:firstLine="420" w:firstLineChars="200"/>
              <w:rPr>
                <w:rFonts w:hint="eastAsia"/>
                <w:szCs w:val="22"/>
                <w:lang w:val="en-US" w:eastAsia="zh-CN"/>
              </w:rPr>
            </w:pPr>
            <w:r>
              <w:rPr>
                <w:rFonts w:hint="eastAsia"/>
                <w:szCs w:val="22"/>
                <w:lang w:val="en-US" w:eastAsia="zh-CN"/>
              </w:rPr>
              <w:t>运行策划和控制符合要求；</w:t>
            </w:r>
          </w:p>
        </w:tc>
        <w:tc>
          <w:tcPr>
            <w:tcW w:w="624" w:type="dxa"/>
          </w:tcPr>
          <w:p>
            <w:pPr>
              <w:pStyle w:val="2"/>
              <w:ind w:firstLine="230" w:firstLineChars="100"/>
              <w:rPr>
                <w:rFonts w:hint="eastAsia"/>
                <w:lang w:val="en-US" w:eastAsia="zh-CN"/>
              </w:rPr>
            </w:pPr>
          </w:p>
          <w:p>
            <w:pPr>
              <w:pStyle w:val="2"/>
              <w:ind w:firstLine="230" w:firstLineChars="100"/>
              <w:rPr>
                <w:rFonts w:hint="eastAsia"/>
                <w:lang w:val="en-US" w:eastAsia="zh-CN"/>
              </w:rPr>
            </w:pPr>
          </w:p>
          <w:p>
            <w:pPr>
              <w:pStyle w:val="2"/>
              <w:ind w:firstLine="230" w:firstLineChars="100"/>
              <w:rPr>
                <w:rFonts w:hint="eastAsia"/>
                <w:lang w:val="en-US" w:eastAsia="zh-CN"/>
              </w:rPr>
            </w:pPr>
          </w:p>
          <w:p>
            <w:pPr>
              <w:pStyle w:val="2"/>
              <w:ind w:firstLine="230" w:firstLineChars="100"/>
              <w:rPr>
                <w:rFonts w:hint="eastAsia"/>
                <w:lang w:val="en-US" w:eastAsia="zh-CN"/>
              </w:rPr>
            </w:pPr>
          </w:p>
          <w:p>
            <w:pPr>
              <w:pStyle w:val="2"/>
              <w:ind w:firstLine="230" w:firstLineChars="100"/>
              <w:rPr>
                <w:rFonts w:hint="eastAsia"/>
                <w:lang w:val="en-US" w:eastAsia="zh-CN"/>
              </w:rPr>
            </w:pPr>
          </w:p>
          <w:p>
            <w:pPr>
              <w:pStyle w:val="2"/>
              <w:ind w:firstLine="230" w:firstLineChars="100"/>
              <w:rPr>
                <w:rFonts w:hint="eastAsia"/>
                <w:lang w:val="en-US" w:eastAsia="zh-CN"/>
              </w:rPr>
            </w:pPr>
          </w:p>
          <w:p>
            <w:pPr>
              <w:pStyle w:val="2"/>
              <w:ind w:firstLine="230" w:firstLineChars="100"/>
              <w:rPr>
                <w:rFonts w:hint="eastAsia"/>
                <w:lang w:val="en-US" w:eastAsia="zh-CN"/>
              </w:rPr>
            </w:pPr>
          </w:p>
          <w:p>
            <w:pPr>
              <w:pStyle w:val="2"/>
              <w:ind w:firstLine="230" w:firstLineChars="100"/>
              <w:rPr>
                <w:rFonts w:hint="eastAsia"/>
                <w:lang w:val="en-US" w:eastAsia="zh-CN"/>
              </w:rPr>
            </w:pPr>
          </w:p>
          <w:p>
            <w:pPr>
              <w:pStyle w:val="2"/>
              <w:ind w:firstLine="230" w:firstLineChars="100"/>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221" w:type="dxa"/>
          </w:tcPr>
          <w:p>
            <w:pPr>
              <w:keepNext w:val="0"/>
              <w:keepLines w:val="0"/>
              <w:widowControl/>
              <w:suppressLineNumbers w:val="0"/>
              <w:jc w:val="left"/>
              <w:rPr>
                <w:rFonts w:hint="default" w:ascii="Times New Roman" w:hAnsi="Times New Roman" w:cs="Times New Roman"/>
                <w:sz w:val="24"/>
                <w:szCs w:val="22"/>
                <w:lang w:val="en-US" w:eastAsia="zh-CN"/>
              </w:rPr>
            </w:pPr>
            <w:r>
              <w:rPr>
                <w:rFonts w:hint="eastAsia" w:cs="Times New Roman"/>
                <w:sz w:val="24"/>
                <w:szCs w:val="22"/>
                <w:lang w:val="en-US" w:eastAsia="zh-CN"/>
              </w:rPr>
              <w:t>应急准备和相应</w:t>
            </w:r>
          </w:p>
        </w:tc>
        <w:tc>
          <w:tcPr>
            <w:tcW w:w="788" w:type="dxa"/>
          </w:tcPr>
          <w:p>
            <w:pPr>
              <w:pStyle w:val="2"/>
              <w:rPr>
                <w:rFonts w:hint="default"/>
                <w:lang w:val="en-US" w:eastAsia="zh-CN"/>
              </w:rPr>
            </w:pPr>
            <w:r>
              <w:rPr>
                <w:rFonts w:hint="eastAsia"/>
                <w:lang w:val="en-US" w:eastAsia="zh-CN"/>
              </w:rPr>
              <w:t>EO8.2</w:t>
            </w:r>
          </w:p>
        </w:tc>
        <w:tc>
          <w:tcPr>
            <w:tcW w:w="7258" w:type="dxa"/>
            <w:vAlign w:val="top"/>
          </w:tcPr>
          <w:p>
            <w:pPr>
              <w:spacing w:line="360" w:lineRule="auto"/>
              <w:ind w:firstLine="420" w:firstLineChars="200"/>
              <w:rPr>
                <w:rFonts w:hint="eastAsia"/>
                <w:szCs w:val="22"/>
                <w:lang w:val="en-US" w:eastAsia="zh-CN"/>
              </w:rPr>
            </w:pPr>
            <w:r>
              <w:rPr>
                <w:rFonts w:hint="eastAsia"/>
                <w:szCs w:val="22"/>
                <w:lang w:val="en-US" w:eastAsia="zh-CN"/>
              </w:rPr>
              <w:t>提供：火灾应急预案AJ06-ZY-2019、触电事故应急预案AJ07-ZY-2019</w:t>
            </w:r>
          </w:p>
          <w:p>
            <w:pPr>
              <w:spacing w:line="360" w:lineRule="auto"/>
              <w:ind w:firstLine="420" w:firstLineChars="200"/>
              <w:rPr>
                <w:rFonts w:hint="eastAsia"/>
                <w:szCs w:val="22"/>
                <w:lang w:val="en-US" w:eastAsia="zh-CN"/>
              </w:rPr>
            </w:pPr>
            <w:r>
              <w:rPr>
                <w:rFonts w:hint="eastAsia"/>
                <w:szCs w:val="22"/>
                <w:lang w:val="en-US" w:eastAsia="zh-CN"/>
              </w:rPr>
              <w:t>提供《应急救援预案演练计划》，有组织人员结构、人员组成、通讯联络、应急物资准备、应急处置程序、注意事项等。</w:t>
            </w:r>
          </w:p>
          <w:p>
            <w:pPr>
              <w:spacing w:line="360" w:lineRule="auto"/>
              <w:ind w:firstLine="420" w:firstLineChars="200"/>
              <w:rPr>
                <w:rFonts w:hint="eastAsia"/>
                <w:szCs w:val="22"/>
                <w:lang w:val="en-US" w:eastAsia="zh-CN"/>
              </w:rPr>
            </w:pPr>
            <w:r>
              <w:rPr>
                <w:rFonts w:hint="eastAsia"/>
                <w:szCs w:val="22"/>
                <w:lang w:val="en-US" w:eastAsia="zh-CN"/>
              </w:rPr>
              <w:t>编制：办公室    审批：李阳      时间</w:t>
            </w:r>
            <w:r>
              <w:rPr>
                <w:rFonts w:hint="eastAsia" w:ascii="Times New Roman" w:hAnsi="Times New Roman" w:cs="Times New Roman"/>
                <w:szCs w:val="22"/>
                <w:lang w:val="en-US" w:eastAsia="zh-CN"/>
              </w:rPr>
              <w:t>：2020年5月25日，</w:t>
            </w:r>
          </w:p>
          <w:p>
            <w:pPr>
              <w:spacing w:line="360" w:lineRule="auto"/>
              <w:ind w:firstLine="420" w:firstLineChars="200"/>
              <w:rPr>
                <w:rFonts w:hint="eastAsia"/>
                <w:szCs w:val="22"/>
                <w:lang w:val="en-US" w:eastAsia="zh-CN"/>
              </w:rPr>
            </w:pPr>
            <w:r>
              <w:rPr>
                <w:rFonts w:hint="eastAsia"/>
                <w:szCs w:val="22"/>
                <w:lang w:val="en-US" w:eastAsia="zh-CN"/>
              </w:rPr>
              <w:t>提供《火灾应急演练记录》，</w:t>
            </w:r>
          </w:p>
          <w:p>
            <w:pPr>
              <w:spacing w:line="360" w:lineRule="auto"/>
              <w:ind w:firstLine="420" w:firstLineChars="200"/>
              <w:rPr>
                <w:rFonts w:hint="eastAsia"/>
                <w:szCs w:val="22"/>
                <w:lang w:val="en-US" w:eastAsia="zh-CN"/>
              </w:rPr>
            </w:pPr>
            <w:r>
              <w:rPr>
                <w:rFonts w:hint="eastAsia"/>
                <w:szCs w:val="22"/>
                <w:lang w:val="en-US" w:eastAsia="zh-CN"/>
              </w:rPr>
              <w:t>有演习项目：灭火、逃生自救，</w:t>
            </w:r>
          </w:p>
          <w:p>
            <w:pPr>
              <w:spacing w:line="360" w:lineRule="auto"/>
              <w:ind w:firstLine="420" w:firstLineChars="200"/>
              <w:rPr>
                <w:rFonts w:hint="eastAsia"/>
                <w:szCs w:val="22"/>
                <w:lang w:val="en-US" w:eastAsia="zh-CN"/>
              </w:rPr>
            </w:pPr>
            <w:r>
              <w:rPr>
                <w:rFonts w:hint="eastAsia"/>
                <w:szCs w:val="22"/>
                <w:lang w:val="en-US" w:eastAsia="zh-CN"/>
              </w:rPr>
              <w:t>地点：办公室，</w:t>
            </w:r>
          </w:p>
          <w:p>
            <w:pPr>
              <w:spacing w:line="360" w:lineRule="auto"/>
              <w:ind w:firstLine="420" w:firstLineChars="200"/>
              <w:rPr>
                <w:rFonts w:hint="eastAsia" w:ascii="Times New Roman" w:hAnsi="Times New Roman" w:cs="Times New Roman"/>
                <w:szCs w:val="22"/>
                <w:lang w:val="en-US" w:eastAsia="zh-CN"/>
              </w:rPr>
            </w:pPr>
            <w:r>
              <w:rPr>
                <w:rFonts w:hint="eastAsia"/>
                <w:szCs w:val="22"/>
                <w:lang w:val="en-US" w:eastAsia="zh-CN"/>
              </w:rPr>
              <w:t>时间</w:t>
            </w:r>
            <w:r>
              <w:rPr>
                <w:rFonts w:hint="eastAsia" w:ascii="Times New Roman" w:hAnsi="Times New Roman" w:cs="Times New Roman"/>
                <w:szCs w:val="22"/>
                <w:lang w:val="en-US" w:eastAsia="zh-CN"/>
              </w:rPr>
              <w:t>：2020年5月25日</w:t>
            </w:r>
          </w:p>
          <w:p>
            <w:pPr>
              <w:spacing w:line="360" w:lineRule="auto"/>
              <w:ind w:firstLine="420" w:firstLineChars="200"/>
              <w:rPr>
                <w:rFonts w:hint="eastAsia"/>
                <w:szCs w:val="22"/>
                <w:lang w:val="en-US" w:eastAsia="zh-CN"/>
              </w:rPr>
            </w:pPr>
            <w:r>
              <w:rPr>
                <w:rFonts w:hint="eastAsia"/>
                <w:szCs w:val="22"/>
                <w:lang w:val="en-US" w:eastAsia="zh-CN"/>
              </w:rPr>
              <w:t>有演练过程记录，演练存在的问题及整改措施等。</w:t>
            </w:r>
          </w:p>
          <w:p>
            <w:pPr>
              <w:spacing w:line="360" w:lineRule="auto"/>
              <w:ind w:firstLine="420" w:firstLineChars="200"/>
              <w:rPr>
                <w:rFonts w:hint="eastAsia"/>
                <w:szCs w:val="22"/>
                <w:lang w:val="en-US" w:eastAsia="zh-CN"/>
              </w:rPr>
            </w:pPr>
            <w:r>
              <w:rPr>
                <w:rFonts w:hint="eastAsia"/>
                <w:szCs w:val="22"/>
                <w:lang w:val="en-US" w:eastAsia="zh-CN"/>
              </w:rPr>
              <w:t>记录人：李颖</w:t>
            </w:r>
          </w:p>
          <w:p>
            <w:pPr>
              <w:spacing w:line="360" w:lineRule="auto"/>
              <w:ind w:firstLine="420" w:firstLineChars="200"/>
              <w:rPr>
                <w:rFonts w:hint="eastAsia"/>
                <w:szCs w:val="22"/>
                <w:lang w:val="en-US" w:eastAsia="zh-CN"/>
              </w:rPr>
            </w:pPr>
            <w:r>
              <w:rPr>
                <w:rFonts w:hint="eastAsia"/>
                <w:szCs w:val="22"/>
                <w:lang w:val="en-US" w:eastAsia="zh-CN"/>
              </w:rPr>
              <w:t>有火灾应急响应演练评审，对演练中发现的问题要求整改。</w:t>
            </w:r>
          </w:p>
          <w:p>
            <w:pPr>
              <w:spacing w:line="360" w:lineRule="auto"/>
              <w:ind w:firstLine="420" w:firstLineChars="200"/>
              <w:rPr>
                <w:rFonts w:hint="default"/>
                <w:szCs w:val="22"/>
                <w:lang w:val="en-US" w:eastAsia="zh-CN"/>
              </w:rPr>
            </w:pPr>
            <w:r>
              <w:rPr>
                <w:rFonts w:hint="eastAsia"/>
                <w:szCs w:val="22"/>
                <w:lang w:val="en-US" w:eastAsia="zh-CN"/>
              </w:rPr>
              <w:t>评价人：李阳    时间：</w:t>
            </w:r>
            <w:r>
              <w:rPr>
                <w:rFonts w:hint="eastAsia" w:ascii="Times New Roman" w:hAnsi="Times New Roman" w:cs="Times New Roman"/>
                <w:szCs w:val="22"/>
                <w:lang w:val="en-US" w:eastAsia="zh-CN"/>
              </w:rPr>
              <w:t>2020年5月25日</w:t>
            </w:r>
          </w:p>
        </w:tc>
        <w:tc>
          <w:tcPr>
            <w:tcW w:w="624" w:type="dxa"/>
          </w:tcPr>
          <w:p>
            <w:pPr>
              <w:pStyle w:val="2"/>
              <w:ind w:firstLine="230" w:firstLineChars="100"/>
              <w:rPr>
                <w:rFonts w:hint="eastAsia"/>
                <w:lang w:val="en-US" w:eastAsia="zh-CN"/>
              </w:rPr>
            </w:pPr>
          </w:p>
          <w:p>
            <w:pPr>
              <w:pStyle w:val="2"/>
              <w:ind w:firstLine="230" w:firstLineChars="100"/>
              <w:rPr>
                <w:rFonts w:hint="eastAsia"/>
                <w:lang w:val="en-US" w:eastAsia="zh-CN"/>
              </w:rPr>
            </w:pPr>
          </w:p>
          <w:p>
            <w:pPr>
              <w:pStyle w:val="2"/>
              <w:ind w:firstLine="230" w:firstLineChars="100"/>
              <w:rPr>
                <w:rFonts w:hint="eastAsia"/>
                <w:lang w:val="en-US" w:eastAsia="zh-CN"/>
              </w:rPr>
            </w:pPr>
          </w:p>
          <w:p>
            <w:pPr>
              <w:pStyle w:val="2"/>
              <w:ind w:firstLine="230" w:firstLineChars="100"/>
              <w:rPr>
                <w:rFonts w:hint="eastAsia"/>
                <w:lang w:val="en-US" w:eastAsia="zh-CN"/>
              </w:rPr>
            </w:pPr>
          </w:p>
          <w:p>
            <w:pPr>
              <w:pStyle w:val="2"/>
              <w:ind w:firstLine="230" w:firstLineChars="100"/>
              <w:rPr>
                <w:rFonts w:hint="default"/>
                <w:lang w:val="en-US" w:eastAsia="zh-CN"/>
              </w:rPr>
            </w:pPr>
            <w:r>
              <w:rPr>
                <w:rFonts w:hint="eastAsia"/>
                <w:lang w:val="en-US" w:eastAsia="zh-CN"/>
              </w:rPr>
              <w:t>y</w:t>
            </w:r>
          </w:p>
        </w:tc>
      </w:tr>
    </w:tbl>
    <w:p>
      <w:pPr>
        <w:pStyle w:val="5"/>
      </w:pPr>
    </w:p>
    <w:p>
      <w:pPr>
        <w:pStyle w:val="5"/>
      </w:pPr>
    </w:p>
    <w:p>
      <w:pPr>
        <w:pStyle w:val="5"/>
      </w:pPr>
    </w:p>
    <w:p>
      <w:pPr>
        <w:pStyle w:val="5"/>
      </w:pPr>
    </w:p>
    <w:tbl>
      <w:tblPr>
        <w:tblStyle w:val="8"/>
        <w:tblW w:w="98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3"/>
        <w:gridCol w:w="741"/>
        <w:gridCol w:w="7162"/>
        <w:gridCol w:w="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353"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741" w:type="dxa"/>
            <w:vMerge w:val="restart"/>
            <w:vAlign w:val="center"/>
          </w:tcPr>
          <w:p>
            <w:pPr>
              <w:rPr>
                <w:sz w:val="24"/>
                <w:szCs w:val="24"/>
              </w:rPr>
            </w:pPr>
            <w:r>
              <w:rPr>
                <w:rFonts w:hint="eastAsia"/>
                <w:sz w:val="24"/>
                <w:szCs w:val="24"/>
              </w:rPr>
              <w:t>涉及</w:t>
            </w:r>
          </w:p>
          <w:p>
            <w:r>
              <w:rPr>
                <w:rFonts w:hint="eastAsia"/>
                <w:sz w:val="24"/>
                <w:szCs w:val="24"/>
              </w:rPr>
              <w:t>条款</w:t>
            </w:r>
          </w:p>
        </w:tc>
        <w:tc>
          <w:tcPr>
            <w:tcW w:w="7162" w:type="dxa"/>
            <w:vAlign w:val="center"/>
          </w:tcPr>
          <w:p>
            <w:pPr>
              <w:rPr>
                <w:rFonts w:hint="eastAsia" w:ascii="Times New Roman" w:hAnsi="Times New Roman" w:eastAsia="宋体" w:cs="Times New Roman"/>
                <w:sz w:val="24"/>
                <w:szCs w:val="24"/>
                <w:lang w:val="en-US" w:eastAsia="zh-CN"/>
              </w:rPr>
            </w:pPr>
            <w:r>
              <w:rPr>
                <w:rFonts w:hint="eastAsia" w:ascii="Times New Roman" w:hAnsi="Times New Roman" w:cs="Times New Roman"/>
                <w:sz w:val="24"/>
                <w:szCs w:val="24"/>
              </w:rPr>
              <w:t xml:space="preserve">受审核部门：办公室    </w:t>
            </w:r>
            <w:bookmarkStart w:id="0" w:name="_GoBack"/>
            <w:bookmarkEnd w:id="0"/>
            <w:r>
              <w:rPr>
                <w:rFonts w:hint="eastAsia" w:ascii="Times New Roman" w:hAnsi="Times New Roman" w:cs="Times New Roman"/>
                <w:sz w:val="24"/>
                <w:szCs w:val="24"/>
              </w:rPr>
              <w:t>主管领导：</w:t>
            </w:r>
            <w:r>
              <w:rPr>
                <w:rFonts w:hint="eastAsia" w:ascii="Times New Roman" w:hAnsi="Times New Roman" w:cs="Times New Roman"/>
                <w:sz w:val="24"/>
                <w:szCs w:val="24"/>
                <w:lang w:val="en-US" w:eastAsia="zh-CN"/>
              </w:rPr>
              <w:t>王辉</w:t>
            </w:r>
            <w:r>
              <w:rPr>
                <w:rFonts w:hint="eastAsia" w:ascii="Times New Roman" w:hAnsi="Times New Roman" w:cs="Times New Roman"/>
                <w:sz w:val="24"/>
                <w:szCs w:val="24"/>
              </w:rPr>
              <w:t xml:space="preserve">    陪同人员：</w:t>
            </w:r>
            <w:r>
              <w:rPr>
                <w:rFonts w:hint="eastAsia" w:ascii="Times New Roman" w:hAnsi="Times New Roman" w:cs="Times New Roman"/>
                <w:sz w:val="24"/>
                <w:szCs w:val="24"/>
                <w:lang w:val="en-US" w:eastAsia="zh-CN"/>
              </w:rPr>
              <w:t>李阳</w:t>
            </w:r>
          </w:p>
        </w:tc>
        <w:tc>
          <w:tcPr>
            <w:tcW w:w="624"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353" w:type="dxa"/>
            <w:vMerge w:val="continue"/>
            <w:vAlign w:val="center"/>
          </w:tcPr>
          <w:p/>
        </w:tc>
        <w:tc>
          <w:tcPr>
            <w:tcW w:w="741" w:type="dxa"/>
            <w:vMerge w:val="continue"/>
            <w:vAlign w:val="center"/>
          </w:tcPr>
          <w:p/>
        </w:tc>
        <w:tc>
          <w:tcPr>
            <w:tcW w:w="7162" w:type="dxa"/>
            <w:vAlign w:val="center"/>
          </w:tcPr>
          <w:p>
            <w:pPr>
              <w:rPr>
                <w:rFonts w:hint="default" w:ascii="Times New Roman" w:hAnsi="Times New Roman" w:cs="Times New Roman"/>
                <w:sz w:val="24"/>
                <w:szCs w:val="24"/>
                <w:lang w:val="en-US" w:eastAsia="zh-CN"/>
              </w:rPr>
            </w:pPr>
            <w:r>
              <w:rPr>
                <w:rFonts w:hint="eastAsia" w:ascii="Times New Roman" w:hAnsi="Times New Roman" w:cs="Times New Roman"/>
                <w:sz w:val="24"/>
                <w:szCs w:val="24"/>
              </w:rPr>
              <w:t xml:space="preserve">审核员：       </w:t>
            </w:r>
            <w:r>
              <w:rPr>
                <w:rFonts w:hint="eastAsia" w:ascii="Times New Roman" w:hAnsi="Times New Roman" w:cs="Times New Roman"/>
                <w:sz w:val="24"/>
                <w:szCs w:val="24"/>
                <w:lang w:val="en-US" w:eastAsia="zh-CN"/>
              </w:rPr>
              <w:t>姜小清</w:t>
            </w:r>
            <w:r>
              <w:rPr>
                <w:rFonts w:hint="eastAsia" w:ascii="Times New Roman" w:hAnsi="Times New Roman" w:cs="Times New Roman"/>
                <w:sz w:val="24"/>
                <w:szCs w:val="24"/>
              </w:rPr>
              <w:t xml:space="preserve">            审核时间：</w:t>
            </w:r>
            <w:r>
              <w:rPr>
                <w:rFonts w:hint="eastAsia" w:ascii="Times New Roman" w:hAnsi="Times New Roman" w:cs="Times New Roman"/>
                <w:sz w:val="24"/>
                <w:szCs w:val="24"/>
                <w:lang w:val="en-US" w:eastAsia="zh-CN"/>
              </w:rPr>
              <w:t>2020.10.18</w:t>
            </w:r>
          </w:p>
        </w:tc>
        <w:tc>
          <w:tcPr>
            <w:tcW w:w="62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353" w:type="dxa"/>
            <w:vMerge w:val="continue"/>
            <w:vAlign w:val="center"/>
          </w:tcPr>
          <w:p/>
        </w:tc>
        <w:tc>
          <w:tcPr>
            <w:tcW w:w="741" w:type="dxa"/>
            <w:vMerge w:val="continue"/>
            <w:vAlign w:val="center"/>
          </w:tcPr>
          <w:p/>
        </w:tc>
        <w:tc>
          <w:tcPr>
            <w:tcW w:w="7162" w:type="dxa"/>
            <w:vAlign w:val="center"/>
          </w:tcPr>
          <w:p>
            <w:pPr>
              <w:snapToGrid w:val="0"/>
              <w:spacing w:line="280" w:lineRule="exact"/>
              <w:jc w:val="left"/>
              <w:rPr>
                <w:rFonts w:hint="eastAsia" w:ascii="Times New Roman" w:hAnsi="Times New Roman" w:cs="Times New Roman"/>
                <w:color w:val="auto"/>
                <w:sz w:val="21"/>
                <w:szCs w:val="21"/>
              </w:rPr>
            </w:pPr>
            <w:r>
              <w:rPr>
                <w:rFonts w:hint="eastAsia"/>
                <w:sz w:val="24"/>
                <w:szCs w:val="24"/>
              </w:rPr>
              <w:t>审核条款：</w:t>
            </w:r>
            <w:r>
              <w:rPr>
                <w:rFonts w:hint="default" w:ascii="Times New Roman" w:hAnsi="Times New Roman" w:cs="Times New Roman"/>
                <w:color w:val="auto"/>
                <w:sz w:val="21"/>
                <w:szCs w:val="21"/>
              </w:rPr>
              <w:t>组织的岗位、职责权限；资源作用职责责任权限；目标、指标管理方案；环境因素/危险源识别评价；文件化信息；文件总则/管理手册、文件和记录控制；人员、组织知识；能力；意识；沟通；能力、培训和意识；信息交流、沟通参与和协商；运行策划和控制；运行控制；应急准备和响应；合规义务；法律法规要求；绩效的监视和测量；合规性评价；事件、不合格及纠正和预防措施控制；内部审核</w:t>
            </w:r>
          </w:p>
          <w:p>
            <w:pPr>
              <w:rPr>
                <w:sz w:val="24"/>
                <w:szCs w:val="24"/>
              </w:rPr>
            </w:pPr>
            <w:r>
              <w:rPr>
                <w:rFonts w:hint="eastAsia" w:ascii="Times New Roman" w:hAnsi="Times New Roman" w:cs="Times New Roman"/>
                <w:color w:val="auto"/>
                <w:sz w:val="21"/>
                <w:szCs w:val="21"/>
              </w:rPr>
              <w:t>E</w:t>
            </w:r>
            <w:r>
              <w:rPr>
                <w:rFonts w:hint="eastAsia" w:ascii="Times New Roman" w:hAnsi="Times New Roman" w:cs="Times New Roman"/>
                <w:color w:val="auto"/>
                <w:sz w:val="21"/>
                <w:szCs w:val="21"/>
                <w:lang w:val="en-US" w:eastAsia="zh-CN"/>
              </w:rPr>
              <w:t>O</w:t>
            </w:r>
            <w:r>
              <w:rPr>
                <w:rFonts w:hint="eastAsia" w:ascii="Times New Roman" w:hAnsi="Times New Roman" w:cs="Times New Roman"/>
                <w:color w:val="auto"/>
                <w:sz w:val="21"/>
                <w:szCs w:val="21"/>
              </w:rPr>
              <w:t>：5.3/6.1.2/6.1.3/6.2</w:t>
            </w:r>
            <w:r>
              <w:rPr>
                <w:rFonts w:hint="eastAsia" w:cs="Times New Roman"/>
                <w:color w:val="auto"/>
                <w:sz w:val="21"/>
                <w:szCs w:val="21"/>
                <w:lang w:val="en-US" w:eastAsia="zh-CN"/>
              </w:rPr>
              <w:t>/7.5</w:t>
            </w:r>
            <w:r>
              <w:rPr>
                <w:rFonts w:hint="eastAsia" w:ascii="Times New Roman" w:hAnsi="Times New Roman" w:cs="Times New Roman"/>
                <w:color w:val="auto"/>
                <w:sz w:val="21"/>
                <w:szCs w:val="21"/>
              </w:rPr>
              <w:t>/8.1/8.2/9.1/9.2/10.2</w:t>
            </w:r>
          </w:p>
        </w:tc>
        <w:tc>
          <w:tcPr>
            <w:tcW w:w="62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353" w:type="dxa"/>
          </w:tcPr>
          <w:p>
            <w:pPr>
              <w:adjustRightInd w:val="0"/>
              <w:snapToGrid w:val="0"/>
              <w:spacing w:line="320" w:lineRule="exact"/>
              <w:ind w:right="105" w:rightChars="5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 xml:space="preserve">组织的岗位、职责和权限 </w:t>
            </w:r>
          </w:p>
          <w:p>
            <w:pPr>
              <w:adjustRightInd w:val="0"/>
              <w:snapToGrid w:val="0"/>
              <w:spacing w:line="320" w:lineRule="exact"/>
              <w:ind w:right="105" w:rightChars="50"/>
              <w:textAlignment w:val="baseline"/>
              <w:rPr>
                <w:rFonts w:hint="default" w:ascii="宋体" w:hAnsi="宋体" w:eastAsia="宋体" w:cs="Arial"/>
                <w:color w:val="auto"/>
                <w:spacing w:val="-6"/>
                <w:sz w:val="21"/>
                <w:szCs w:val="21"/>
                <w:lang w:val="en-US" w:eastAsia="zh-CN"/>
              </w:rPr>
            </w:pPr>
          </w:p>
        </w:tc>
        <w:tc>
          <w:tcPr>
            <w:tcW w:w="741" w:type="dxa"/>
          </w:tcPr>
          <w:p>
            <w:pPr>
              <w:adjustRightInd w:val="0"/>
              <w:snapToGrid w:val="0"/>
              <w:spacing w:line="320" w:lineRule="exact"/>
              <w:ind w:right="105" w:rightChars="5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 xml:space="preserve">5.3 </w:t>
            </w:r>
          </w:p>
          <w:p>
            <w:pPr>
              <w:adjustRightInd w:val="0"/>
              <w:snapToGrid w:val="0"/>
              <w:spacing w:line="320" w:lineRule="exact"/>
              <w:ind w:right="105" w:rightChars="50"/>
              <w:textAlignment w:val="baseline"/>
              <w:rPr>
                <w:rFonts w:hint="default" w:ascii="宋体" w:hAnsi="宋体" w:eastAsia="宋体" w:cs="Arial"/>
                <w:color w:val="auto"/>
                <w:spacing w:val="-6"/>
                <w:sz w:val="21"/>
                <w:szCs w:val="21"/>
                <w:lang w:val="en-US" w:eastAsia="zh-CN"/>
              </w:rPr>
            </w:pPr>
          </w:p>
        </w:tc>
        <w:tc>
          <w:tcPr>
            <w:tcW w:w="7162" w:type="dxa"/>
          </w:tcPr>
          <w:p>
            <w:pPr>
              <w:adjustRightInd w:val="0"/>
              <w:snapToGrid w:val="0"/>
              <w:spacing w:line="320" w:lineRule="exact"/>
              <w:ind w:right="105" w:rightChars="5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人员和岗位设置（对环境及职业健康安全负有责任的）：</w:t>
            </w:r>
          </w:p>
          <w:p>
            <w:pPr>
              <w:adjustRightInd w:val="0"/>
              <w:snapToGrid w:val="0"/>
              <w:spacing w:line="320" w:lineRule="exact"/>
              <w:ind w:right="105" w:rightChars="5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部门共2人、主管1名、其他文员；</w:t>
            </w:r>
          </w:p>
          <w:p>
            <w:pPr>
              <w:adjustRightInd w:val="0"/>
              <w:snapToGrid w:val="0"/>
              <w:spacing w:line="320" w:lineRule="exact"/>
              <w:ind w:right="105" w:rightChars="5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E/H职责和权限：</w:t>
            </w:r>
          </w:p>
          <w:p>
            <w:pPr>
              <w:adjustRightInd w:val="0"/>
              <w:snapToGrid w:val="0"/>
              <w:spacing w:line="320" w:lineRule="exact"/>
              <w:ind w:right="105" w:rightChars="5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 xml:space="preserve">按照公司环境和职业健康安全要求操作、参与危险源辨识和风险评价及环境因素评价、负责日常环境和安全检查、本部门的环境和安全的培训和教育宣传、不符合的调查和原因分析和纠正及纠正措施和预防措施的实施检查； </w:t>
            </w:r>
          </w:p>
          <w:p>
            <w:pPr>
              <w:adjustRightInd w:val="0"/>
              <w:snapToGrid w:val="0"/>
              <w:spacing w:line="320" w:lineRule="exact"/>
              <w:ind w:right="105" w:rightChars="50"/>
              <w:textAlignment w:val="baseline"/>
              <w:rPr>
                <w:rFonts w:hint="default"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设置了（兼）职环境及安全事务代表1名；查其环境安全职责内容、包括日常环安巡查及定期检查、现场不符合纠正及纠正和预防措施必要性分析、实施及实施验证等；</w:t>
            </w:r>
          </w:p>
        </w:tc>
        <w:tc>
          <w:tcPr>
            <w:tcW w:w="624"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1353" w:type="dxa"/>
          </w:tcPr>
          <w:p>
            <w:pPr>
              <w:adjustRightInd w:val="0"/>
              <w:snapToGrid w:val="0"/>
              <w:spacing w:line="320" w:lineRule="exact"/>
              <w:ind w:right="105" w:rightChars="5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环境因素</w:t>
            </w:r>
          </w:p>
          <w:p>
            <w:pPr>
              <w:adjustRightInd w:val="0"/>
              <w:snapToGrid w:val="0"/>
              <w:spacing w:line="320" w:lineRule="exact"/>
              <w:ind w:right="105" w:rightChars="50"/>
              <w:textAlignment w:val="baseline"/>
              <w:rPr>
                <w:rFonts w:hint="eastAsia" w:ascii="宋体" w:hAnsi="宋体" w:eastAsia="宋体" w:cs="Arial"/>
                <w:color w:val="auto"/>
                <w:spacing w:val="-6"/>
                <w:sz w:val="21"/>
                <w:szCs w:val="21"/>
                <w:lang w:val="en-US" w:eastAsia="zh-CN"/>
              </w:rPr>
            </w:pPr>
          </w:p>
        </w:tc>
        <w:tc>
          <w:tcPr>
            <w:tcW w:w="741" w:type="dxa"/>
          </w:tcPr>
          <w:p>
            <w:pPr>
              <w:adjustRightInd w:val="0"/>
              <w:snapToGrid w:val="0"/>
              <w:spacing w:line="320" w:lineRule="exact"/>
              <w:ind w:right="105" w:rightChars="5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6.1.2</w:t>
            </w:r>
          </w:p>
          <w:p>
            <w:pPr>
              <w:adjustRightInd w:val="0"/>
              <w:snapToGrid w:val="0"/>
              <w:spacing w:line="320" w:lineRule="exact"/>
              <w:ind w:right="105" w:rightChars="50"/>
              <w:textAlignment w:val="baseline"/>
              <w:rPr>
                <w:rFonts w:hint="eastAsia" w:ascii="宋体" w:hAnsi="宋体" w:eastAsia="宋体" w:cs="Arial"/>
                <w:color w:val="auto"/>
                <w:spacing w:val="-6"/>
                <w:sz w:val="21"/>
                <w:szCs w:val="21"/>
                <w:lang w:val="en-US" w:eastAsia="zh-CN"/>
              </w:rPr>
            </w:pPr>
          </w:p>
        </w:tc>
        <w:tc>
          <w:tcPr>
            <w:tcW w:w="7162" w:type="dxa"/>
          </w:tcPr>
          <w:p>
            <w:pPr>
              <w:adjustRightInd w:val="0"/>
              <w:snapToGrid w:val="0"/>
              <w:spacing w:line="320" w:lineRule="exact"/>
              <w:ind w:right="105" w:rightChars="5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编制了《环境因素识别与评价表》环境因素“23”项、具体“水电纸张消耗、废旧墨盒硒鼓废弃、潜在火灾等——有相应的控制措施、及涉及人员和相关方信息、未见明显遗漏；</w:t>
            </w:r>
          </w:p>
          <w:p>
            <w:pPr>
              <w:adjustRightInd w:val="0"/>
              <w:snapToGrid w:val="0"/>
              <w:spacing w:line="320" w:lineRule="exact"/>
              <w:ind w:right="105" w:rightChars="5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确定的环境影响“3”项、具体为大气污染、土壤污染和原材料及能源消耗等 ；</w:t>
            </w:r>
          </w:p>
          <w:p>
            <w:pPr>
              <w:adjustRightInd w:val="0"/>
              <w:snapToGrid w:val="0"/>
              <w:spacing w:line="320" w:lineRule="exact"/>
              <w:ind w:right="105" w:rightChars="5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有三种时态和状态的说明；</w:t>
            </w:r>
          </w:p>
          <w:p>
            <w:pPr>
              <w:adjustRightInd w:val="0"/>
              <w:snapToGrid w:val="0"/>
              <w:spacing w:line="320" w:lineRule="exact"/>
              <w:ind w:right="105" w:rightChars="5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对环境影响评价方法为（打分法 ）；</w:t>
            </w:r>
          </w:p>
          <w:p>
            <w:pPr>
              <w:adjustRightInd w:val="0"/>
              <w:snapToGrid w:val="0"/>
              <w:spacing w:line="320" w:lineRule="exact"/>
              <w:ind w:right="105" w:rightChars="5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提供了《重要环境因素清单》“2”项、主要为“火灾危废（墨盒硒鼓）”，有控制方法的相关内容，查环境因素识别基本符合实际情况，未见明显遗漏、评价基本准确；对应了风险和机遇中重要环境因素的相关信息、未见明显遗漏，符合规定；</w:t>
            </w:r>
          </w:p>
          <w:p>
            <w:pPr>
              <w:adjustRightInd w:val="0"/>
              <w:snapToGrid w:val="0"/>
              <w:spacing w:line="320" w:lineRule="exact"/>
              <w:ind w:right="105" w:rightChars="5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上述文件有编审批、更新日期2020.1.8 ；</w:t>
            </w:r>
          </w:p>
          <w:p>
            <w:pPr>
              <w:adjustRightInd w:val="0"/>
              <w:snapToGrid w:val="0"/>
              <w:spacing w:line="320" w:lineRule="exact"/>
              <w:ind w:right="105" w:rightChars="5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近一年来现场环境基本没有发生变化；</w:t>
            </w:r>
          </w:p>
        </w:tc>
        <w:tc>
          <w:tcPr>
            <w:tcW w:w="624"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353" w:type="dxa"/>
          </w:tcPr>
          <w:p>
            <w:pPr>
              <w:adjustRightInd w:val="0"/>
              <w:snapToGrid w:val="0"/>
              <w:spacing w:line="320" w:lineRule="exact"/>
              <w:ind w:right="105" w:rightChars="5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危险源辨识及风险和机遇的评价</w:t>
            </w:r>
          </w:p>
          <w:p>
            <w:pPr>
              <w:adjustRightInd w:val="0"/>
              <w:snapToGrid w:val="0"/>
              <w:spacing w:line="320" w:lineRule="exact"/>
              <w:ind w:right="105" w:rightChars="50"/>
              <w:textAlignment w:val="baseline"/>
              <w:rPr>
                <w:rFonts w:hint="eastAsia" w:ascii="宋体" w:hAnsi="宋体" w:eastAsia="宋体" w:cs="Arial"/>
                <w:color w:val="auto"/>
                <w:spacing w:val="-6"/>
                <w:sz w:val="21"/>
                <w:szCs w:val="21"/>
                <w:lang w:val="en-US" w:eastAsia="zh-CN"/>
              </w:rPr>
            </w:pPr>
          </w:p>
        </w:tc>
        <w:tc>
          <w:tcPr>
            <w:tcW w:w="741" w:type="dxa"/>
          </w:tcPr>
          <w:p>
            <w:pPr>
              <w:adjustRightInd w:val="0"/>
              <w:snapToGrid w:val="0"/>
              <w:spacing w:line="320" w:lineRule="exact"/>
              <w:ind w:right="105" w:rightChars="5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6.1.2</w:t>
            </w:r>
          </w:p>
          <w:p>
            <w:pPr>
              <w:adjustRightInd w:val="0"/>
              <w:snapToGrid w:val="0"/>
              <w:spacing w:line="320" w:lineRule="exact"/>
              <w:ind w:right="105" w:rightChars="50"/>
              <w:textAlignment w:val="baseline"/>
              <w:rPr>
                <w:rFonts w:hint="eastAsia" w:ascii="宋体" w:hAnsi="宋体" w:eastAsia="宋体" w:cs="Arial"/>
                <w:color w:val="auto"/>
                <w:spacing w:val="-6"/>
                <w:sz w:val="21"/>
                <w:szCs w:val="21"/>
                <w:lang w:val="en-US" w:eastAsia="zh-CN"/>
              </w:rPr>
            </w:pPr>
          </w:p>
        </w:tc>
        <w:tc>
          <w:tcPr>
            <w:tcW w:w="7162" w:type="dxa"/>
          </w:tcPr>
          <w:p>
            <w:pPr>
              <w:adjustRightInd w:val="0"/>
              <w:snapToGrid w:val="0"/>
              <w:spacing w:line="320" w:lineRule="exact"/>
              <w:ind w:right="105" w:rightChars="5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编制了《危险源辨识、风险评价和控制策划表》</w:t>
            </w:r>
          </w:p>
          <w:p>
            <w:pPr>
              <w:adjustRightInd w:val="0"/>
              <w:snapToGrid w:val="0"/>
              <w:spacing w:line="320" w:lineRule="exact"/>
              <w:ind w:right="105" w:rightChars="5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识别的危险源“13”项、包括“电气漏电、火灾、电脑操作人员久坐、饮水机操作”等——查基本没有遗漏；</w:t>
            </w:r>
          </w:p>
          <w:p>
            <w:pPr>
              <w:adjustRightInd w:val="0"/>
              <w:snapToGrid w:val="0"/>
              <w:spacing w:line="320" w:lineRule="exact"/>
              <w:ind w:right="105" w:rightChars="5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对上述识别的危险源确定了相应的危害内容（火灾、触电等）；</w:t>
            </w:r>
          </w:p>
          <w:p>
            <w:pPr>
              <w:adjustRightInd w:val="0"/>
              <w:snapToGrid w:val="0"/>
              <w:spacing w:line="320" w:lineRule="exact"/>
              <w:ind w:right="105" w:rightChars="5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采用LECD评价法、风险等级为中度“12”项、不接受的风险“1”项；</w:t>
            </w:r>
          </w:p>
          <w:p>
            <w:pPr>
              <w:adjustRightInd w:val="0"/>
              <w:snapToGrid w:val="0"/>
              <w:spacing w:line="320" w:lineRule="exact"/>
              <w:ind w:right="105" w:rightChars="5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评价出的重大危险源“1”项、具体为“火灾”、查评价基本准确；</w:t>
            </w:r>
          </w:p>
          <w:p>
            <w:pPr>
              <w:adjustRightInd w:val="0"/>
              <w:snapToGrid w:val="0"/>
              <w:spacing w:line="320" w:lineRule="exact"/>
              <w:ind w:right="105" w:rightChars="5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控制措施包括“个人防护、培训教育、检查消除”等；</w:t>
            </w:r>
          </w:p>
          <w:p>
            <w:pPr>
              <w:adjustRightInd w:val="0"/>
              <w:snapToGrid w:val="0"/>
              <w:spacing w:line="320" w:lineRule="exact"/>
              <w:ind w:right="105" w:rightChars="5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文件有编审批更新日期“2020.1.8.”；</w:t>
            </w:r>
          </w:p>
          <w:p>
            <w:pPr>
              <w:adjustRightInd w:val="0"/>
              <w:snapToGrid w:val="0"/>
              <w:spacing w:line="320" w:lineRule="exact"/>
              <w:ind w:right="105" w:rightChars="5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查近一年 场地环境没有变化；</w:t>
            </w:r>
          </w:p>
        </w:tc>
        <w:tc>
          <w:tcPr>
            <w:tcW w:w="624" w:type="dxa"/>
          </w:tcPr>
          <w:p>
            <w:pPr>
              <w:snapToGrid w:val="0"/>
              <w:spacing w:line="280" w:lineRule="exact"/>
              <w:jc w:val="left"/>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353" w:type="dxa"/>
          </w:tcPr>
          <w:p>
            <w:pPr>
              <w:adjustRightInd w:val="0"/>
              <w:snapToGrid w:val="0"/>
              <w:spacing w:line="320" w:lineRule="exact"/>
              <w:ind w:right="105" w:rightChars="5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合规义务</w:t>
            </w:r>
          </w:p>
          <w:p>
            <w:pPr>
              <w:adjustRightInd w:val="0"/>
              <w:snapToGrid w:val="0"/>
              <w:spacing w:line="320" w:lineRule="exact"/>
              <w:ind w:right="105" w:rightChars="5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法律法规要求和其他要求的确定</w:t>
            </w:r>
          </w:p>
          <w:p>
            <w:pPr>
              <w:adjustRightInd w:val="0"/>
              <w:snapToGrid w:val="0"/>
              <w:spacing w:line="320" w:lineRule="exact"/>
              <w:ind w:right="105" w:rightChars="50"/>
              <w:textAlignment w:val="baseline"/>
              <w:rPr>
                <w:rFonts w:hint="eastAsia" w:ascii="宋体" w:hAnsi="宋体" w:eastAsia="宋体" w:cs="Arial"/>
                <w:color w:val="auto"/>
                <w:spacing w:val="-6"/>
                <w:sz w:val="21"/>
                <w:szCs w:val="21"/>
                <w:lang w:val="en-US" w:eastAsia="zh-CN"/>
              </w:rPr>
            </w:pPr>
          </w:p>
        </w:tc>
        <w:tc>
          <w:tcPr>
            <w:tcW w:w="741" w:type="dxa"/>
          </w:tcPr>
          <w:p>
            <w:pPr>
              <w:adjustRightInd w:val="0"/>
              <w:snapToGrid w:val="0"/>
              <w:spacing w:line="320" w:lineRule="exact"/>
              <w:ind w:right="105" w:rightChars="5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6.1.3</w:t>
            </w:r>
          </w:p>
          <w:p>
            <w:pPr>
              <w:adjustRightInd w:val="0"/>
              <w:snapToGrid w:val="0"/>
              <w:spacing w:line="320" w:lineRule="exact"/>
              <w:ind w:right="105" w:rightChars="5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 xml:space="preserve">6.1.3 </w:t>
            </w:r>
          </w:p>
          <w:p>
            <w:pPr>
              <w:adjustRightInd w:val="0"/>
              <w:snapToGrid w:val="0"/>
              <w:spacing w:line="320" w:lineRule="exact"/>
              <w:ind w:right="105" w:rightChars="50"/>
              <w:textAlignment w:val="baseline"/>
              <w:rPr>
                <w:rFonts w:hint="eastAsia" w:ascii="宋体" w:hAnsi="宋体" w:eastAsia="宋体" w:cs="Arial"/>
                <w:color w:val="auto"/>
                <w:spacing w:val="-6"/>
                <w:sz w:val="21"/>
                <w:szCs w:val="21"/>
                <w:lang w:val="en-US" w:eastAsia="zh-CN"/>
              </w:rPr>
            </w:pPr>
          </w:p>
        </w:tc>
        <w:tc>
          <w:tcPr>
            <w:tcW w:w="7162" w:type="dxa"/>
          </w:tcPr>
          <w:p>
            <w:pPr>
              <w:adjustRightInd w:val="0"/>
              <w:snapToGrid w:val="0"/>
              <w:spacing w:line="320" w:lineRule="exact"/>
              <w:ind w:right="105" w:rightChars="5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编制和提供了《法律法规和其他要求清单》包括法律法规名称、版本文号年号、相关条款号、适用部门、控制措施等内容；</w:t>
            </w:r>
          </w:p>
          <w:p>
            <w:pPr>
              <w:adjustRightInd w:val="0"/>
              <w:snapToGrid w:val="0"/>
              <w:spacing w:line="320" w:lineRule="exact"/>
              <w:ind w:right="105" w:rightChars="5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其中识别的国家及地方法律法规共“12”条、抽查若干条、《安全生产法》（2014.12.31）、《中华人民共和国消防法》（2009.5.1）、《中华人民共和国环境保护法》（2015.1.1）、《中华人民共和国固体废物污染环境防治法》（修订）（2016.11.7）—— 适用于组织的危险源、职业健康安全风险和职业健康安全管理体系的法律法规要求和其他要求；</w:t>
            </w:r>
          </w:p>
          <w:p>
            <w:pPr>
              <w:adjustRightInd w:val="0"/>
              <w:snapToGrid w:val="0"/>
              <w:spacing w:line="320" w:lineRule="exact"/>
              <w:ind w:right="105" w:rightChars="5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另法律法规来源于网络查询、更新周期为一年、文件有编审批更新日期2020.1.8.；</w:t>
            </w:r>
          </w:p>
          <w:p>
            <w:pPr>
              <w:adjustRightInd w:val="0"/>
              <w:snapToGrid w:val="0"/>
              <w:spacing w:line="320" w:lineRule="exact"/>
              <w:ind w:right="105" w:rightChars="5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结合6.1条款审核发现、给组织带来风险和机遇中包含以上合规义务的相关内容——基本符合规定；</w:t>
            </w:r>
          </w:p>
        </w:tc>
        <w:tc>
          <w:tcPr>
            <w:tcW w:w="624"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53" w:type="dxa"/>
            <w:vAlign w:val="top"/>
          </w:tcPr>
          <w:p>
            <w:pPr>
              <w:adjustRightInd w:val="0"/>
              <w:snapToGrid w:val="0"/>
              <w:spacing w:line="320" w:lineRule="exact"/>
              <w:ind w:right="105" w:rightChars="50"/>
              <w:textAlignment w:val="baseline"/>
            </w:pPr>
            <w:r>
              <w:rPr>
                <w:rFonts w:hint="eastAsia" w:ascii="宋体" w:hAnsi="宋体" w:eastAsia="宋体" w:cs="Arial"/>
                <w:color w:val="auto"/>
                <w:spacing w:val="-6"/>
                <w:sz w:val="21"/>
                <w:szCs w:val="21"/>
                <w:lang w:val="en-US" w:eastAsia="zh-CN"/>
              </w:rPr>
              <w:t>环境安全目标及其实现的策划、</w:t>
            </w:r>
          </w:p>
        </w:tc>
        <w:tc>
          <w:tcPr>
            <w:tcW w:w="741" w:type="dxa"/>
            <w:vAlign w:val="top"/>
          </w:tcPr>
          <w:p>
            <w:pPr>
              <w:adjustRightInd w:val="0"/>
              <w:snapToGrid w:val="0"/>
              <w:spacing w:line="320" w:lineRule="exact"/>
              <w:ind w:right="105" w:rightChars="50"/>
              <w:textAlignment w:val="baseline"/>
            </w:pPr>
            <w:r>
              <w:rPr>
                <w:rFonts w:hint="eastAsia" w:ascii="宋体" w:hAnsi="宋体" w:eastAsia="宋体" w:cs="Arial"/>
                <w:color w:val="auto"/>
                <w:spacing w:val="-6"/>
                <w:sz w:val="21"/>
                <w:szCs w:val="21"/>
                <w:lang w:val="en-US" w:eastAsia="zh-CN"/>
              </w:rPr>
              <w:t>6.2</w:t>
            </w:r>
          </w:p>
        </w:tc>
        <w:tc>
          <w:tcPr>
            <w:tcW w:w="7162" w:type="dxa"/>
            <w:vAlign w:val="top"/>
          </w:tcPr>
          <w:p>
            <w:pPr>
              <w:adjustRightInd w:val="0"/>
              <w:snapToGrid w:val="0"/>
              <w:spacing w:line="320" w:lineRule="exact"/>
              <w:ind w:right="105" w:rightChars="50"/>
              <w:textAlignment w:val="baseline"/>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公司环境职业健康安全目标/指标“火灾事故为零。固体废弃物处置率100%、火灾为0、触电事故为零；轻伤事故率在2‰以内，重大安全事故为零。”；</w:t>
            </w:r>
          </w:p>
          <w:p>
            <w:pPr>
              <w:adjustRightInd w:val="0"/>
              <w:snapToGrid w:val="0"/>
              <w:spacing w:line="320" w:lineRule="exact"/>
              <w:ind w:right="105" w:rightChars="50"/>
              <w:textAlignment w:val="baseline"/>
              <w:rPr>
                <w:rFonts w:hint="default"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提供《环境目标、指标/职业健康安全目标与管理方案及实施情况一览表》查上述环境和职业健康安全目标基本与职业健康安全方针保持一致；可度量（如可行）或可进行绩效评价； 考虑：适用的要求；风险和机遇的评价结果；与员工和员工代表（如有员工代表）协商的结果；得到监视；予以沟通； 更新2020.1.8.；</w:t>
            </w:r>
          </w:p>
          <w:p>
            <w:pPr>
              <w:adjustRightInd w:val="0"/>
              <w:snapToGrid w:val="0"/>
              <w:spacing w:line="320" w:lineRule="exact"/>
              <w:ind w:right="105" w:rightChars="50"/>
              <w:textAlignment w:val="baseline"/>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另查目标指标方案中已经包含了：具体工作内容、需要资源财力、负责人、完成时间节点、包括用于监视的参数的结果评价方式、措施在其业务过程中的应用情况；</w:t>
            </w:r>
          </w:p>
          <w:p>
            <w:pPr>
              <w:adjustRightInd w:val="0"/>
              <w:snapToGrid w:val="0"/>
              <w:spacing w:line="320" w:lineRule="exact"/>
              <w:ind w:right="105" w:rightChars="50"/>
              <w:textAlignment w:val="baseline"/>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采取的措施：人员培训教育、完善管理制度、严格按照制度和程序文件执行、日常巡检查发现问题及和质量目标偏离的情况及时整改和调整、对相关责任人作出处理、严格各项绩效考核评价制度、实际中认真执行、鼓励员工积极创新对现有规定提出意见和建议等；</w:t>
            </w:r>
          </w:p>
          <w:p>
            <w:pPr>
              <w:adjustRightInd w:val="0"/>
              <w:snapToGrid w:val="0"/>
              <w:spacing w:line="320" w:lineRule="exact"/>
              <w:ind w:right="105" w:rightChars="50"/>
              <w:textAlignment w:val="baseline"/>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需要的资源：</w:t>
            </w:r>
          </w:p>
          <w:p>
            <w:pPr>
              <w:adjustRightInd w:val="0"/>
              <w:snapToGrid w:val="0"/>
              <w:spacing w:line="320" w:lineRule="exact"/>
              <w:ind w:right="105" w:rightChars="50"/>
              <w:textAlignment w:val="baseline"/>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查2019年公司总目标完成情况基本达标；</w:t>
            </w:r>
          </w:p>
          <w:p>
            <w:pPr>
              <w:adjustRightInd w:val="0"/>
              <w:snapToGrid w:val="0"/>
              <w:spacing w:line="320" w:lineRule="exact"/>
              <w:ind w:right="105" w:rightChars="50"/>
              <w:textAlignment w:val="baseline"/>
            </w:pPr>
            <w:r>
              <w:rPr>
                <w:rFonts w:hint="eastAsia" w:ascii="Times New Roman" w:hAnsi="Times New Roman" w:eastAsia="宋体" w:cs="Times New Roman"/>
                <w:szCs w:val="22"/>
                <w:lang w:val="en-US" w:eastAsia="zh-CN"/>
              </w:rPr>
              <w:t>另提供《环境\职业健康安全目标分解考核表(2020年3-2020年5月)》考核时间2020.6.1.、显示分解的目标指标均已完成、公司总目标已经达成、符合规定；</w:t>
            </w:r>
          </w:p>
        </w:tc>
        <w:tc>
          <w:tcPr>
            <w:tcW w:w="624"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53" w:type="dxa"/>
            <w:vAlign w:val="top"/>
          </w:tcPr>
          <w:p>
            <w:pPr>
              <w:adjustRightInd w:val="0"/>
              <w:snapToGrid w:val="0"/>
              <w:spacing w:line="320" w:lineRule="exact"/>
              <w:ind w:right="105" w:rightChars="50"/>
              <w:textAlignment w:val="baseline"/>
              <w:rPr>
                <w:rFonts w:hint="default" w:ascii="宋体" w:hAnsi="宋体" w:eastAsia="宋体" w:cs="Arial"/>
                <w:color w:val="auto"/>
                <w:spacing w:val="-6"/>
                <w:sz w:val="21"/>
                <w:szCs w:val="21"/>
                <w:lang w:val="en-US" w:eastAsia="zh-CN"/>
              </w:rPr>
            </w:pPr>
            <w:r>
              <w:rPr>
                <w:rFonts w:hint="eastAsia" w:ascii="宋体" w:hAnsi="宋体" w:cs="Arial"/>
                <w:color w:val="auto"/>
                <w:spacing w:val="-6"/>
                <w:sz w:val="21"/>
                <w:szCs w:val="21"/>
                <w:lang w:val="en-US" w:eastAsia="zh-CN"/>
              </w:rPr>
              <w:t>成文信息</w:t>
            </w:r>
          </w:p>
        </w:tc>
        <w:tc>
          <w:tcPr>
            <w:tcW w:w="741" w:type="dxa"/>
            <w:vAlign w:val="top"/>
          </w:tcPr>
          <w:p>
            <w:pPr>
              <w:adjustRightInd w:val="0"/>
              <w:snapToGrid w:val="0"/>
              <w:spacing w:line="320" w:lineRule="exact"/>
              <w:ind w:right="105" w:rightChars="50"/>
              <w:textAlignment w:val="baseline"/>
              <w:rPr>
                <w:rFonts w:hint="default" w:ascii="宋体" w:hAnsi="宋体" w:eastAsia="宋体" w:cs="Arial"/>
                <w:color w:val="auto"/>
                <w:spacing w:val="-6"/>
                <w:sz w:val="21"/>
                <w:szCs w:val="21"/>
                <w:lang w:val="en-US" w:eastAsia="zh-CN"/>
              </w:rPr>
            </w:pPr>
            <w:r>
              <w:rPr>
                <w:rFonts w:hint="eastAsia" w:ascii="宋体" w:hAnsi="宋体" w:cs="Arial"/>
                <w:color w:val="auto"/>
                <w:spacing w:val="-6"/>
                <w:sz w:val="21"/>
                <w:szCs w:val="21"/>
                <w:lang w:val="en-US" w:eastAsia="zh-CN"/>
              </w:rPr>
              <w:t>7.5</w:t>
            </w:r>
          </w:p>
        </w:tc>
        <w:tc>
          <w:tcPr>
            <w:tcW w:w="7162" w:type="dxa"/>
            <w:vAlign w:val="top"/>
          </w:tcPr>
          <w:p>
            <w:pPr>
              <w:adjustRightInd w:val="0"/>
              <w:snapToGrid w:val="0"/>
              <w:spacing w:line="320" w:lineRule="exact"/>
              <w:ind w:right="105" w:rightChars="50"/>
              <w:textAlignment w:val="baseline"/>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公司建立并保持了《文件控制程序》、《记录控制程序》，批准：总经理，</w:t>
            </w:r>
            <w:r>
              <w:rPr>
                <w:rFonts w:hint="eastAsia" w:ascii="Times New Roman" w:hAnsi="Times New Roman" w:cs="Times New Roman"/>
                <w:szCs w:val="22"/>
                <w:lang w:val="en-US" w:eastAsia="zh-CN"/>
              </w:rPr>
              <w:t>李阳</w:t>
            </w:r>
            <w:r>
              <w:rPr>
                <w:rFonts w:hint="eastAsia" w:ascii="Times New Roman" w:hAnsi="Times New Roman" w:eastAsia="宋体" w:cs="Times New Roman"/>
                <w:szCs w:val="22"/>
                <w:lang w:val="en-US" w:eastAsia="zh-CN"/>
              </w:rPr>
              <w:t>；对成文信息的控制进行了策划和规定；</w:t>
            </w:r>
          </w:p>
          <w:p>
            <w:pPr>
              <w:adjustRightInd w:val="0"/>
              <w:snapToGrid w:val="0"/>
              <w:spacing w:line="320" w:lineRule="exact"/>
              <w:ind w:right="105" w:rightChars="50"/>
              <w:textAlignment w:val="baseline"/>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2，抽检:办公室文件均为有效版本,并经相关人员批准，文件以文件名称/编号/版本号进行标识，如：管理手册,编号HBAJ—SC—2019,发布日期：2019年01月08日，实施日期：2019年01月08日。程序文件</w:t>
            </w:r>
            <w:r>
              <w:rPr>
                <w:rFonts w:hint="eastAsia" w:ascii="Times New Roman" w:hAnsi="Times New Roman" w:cs="Times New Roman"/>
                <w:szCs w:val="22"/>
                <w:lang w:val="en-US" w:eastAsia="zh-CN"/>
              </w:rPr>
              <w:t>19</w:t>
            </w:r>
            <w:r>
              <w:rPr>
                <w:rFonts w:hint="eastAsia" w:ascii="Times New Roman" w:hAnsi="Times New Roman" w:eastAsia="宋体" w:cs="Times New Roman"/>
                <w:szCs w:val="22"/>
                <w:lang w:val="en-US" w:eastAsia="zh-CN"/>
              </w:rPr>
              <w:t>个, 编号</w:t>
            </w:r>
            <w:r>
              <w:rPr>
                <w:rFonts w:hint="eastAsia" w:ascii="STXihei" w:hAnsi="STXihei" w:eastAsia="STXihei" w:cs="宋体"/>
                <w:sz w:val="24"/>
                <w:lang w:eastAsia="zh-CN"/>
              </w:rPr>
              <w:t>HBAJ</w:t>
            </w:r>
            <w:r>
              <w:rPr>
                <w:rFonts w:hint="eastAsia" w:ascii="STXihei" w:hAnsi="STXihei" w:eastAsia="STXihei" w:cs="宋体"/>
                <w:sz w:val="24"/>
              </w:rPr>
              <w:t>-CX-</w:t>
            </w:r>
            <w:r>
              <w:rPr>
                <w:rFonts w:hint="eastAsia" w:ascii="STXihei" w:hAnsi="STXihei" w:eastAsia="STXihei" w:cs="宋体"/>
                <w:sz w:val="24"/>
                <w:lang w:val="en-US" w:eastAsia="zh-CN"/>
              </w:rPr>
              <w:t>n</w:t>
            </w:r>
            <w:r>
              <w:rPr>
                <w:rFonts w:hint="eastAsia" w:ascii="STXihei" w:hAnsi="STXihei" w:eastAsia="STXihei" w:cs="宋体"/>
                <w:sz w:val="24"/>
              </w:rPr>
              <w:t>-</w:t>
            </w:r>
            <w:r>
              <w:rPr>
                <w:rFonts w:hint="eastAsia" w:ascii="STXihei" w:hAnsi="STXihei" w:eastAsia="STXihei" w:cs="宋体"/>
                <w:sz w:val="24"/>
                <w:lang w:eastAsia="zh-CN"/>
              </w:rPr>
              <w:t>2019</w:t>
            </w:r>
            <w:r>
              <w:rPr>
                <w:rFonts w:hint="eastAsia" w:ascii="Times New Roman" w:hAnsi="Times New Roman" w:eastAsia="宋体" w:cs="Times New Roman"/>
                <w:szCs w:val="22"/>
                <w:lang w:val="en-US" w:eastAsia="zh-CN"/>
              </w:rPr>
              <w:t>,发布日期：2019年01月08日，实施日期：2019年01月08日。</w:t>
            </w:r>
          </w:p>
          <w:p>
            <w:pPr>
              <w:adjustRightInd w:val="0"/>
              <w:snapToGrid w:val="0"/>
              <w:spacing w:line="320" w:lineRule="exact"/>
              <w:ind w:right="105" w:rightChars="50"/>
              <w:textAlignment w:val="baseline"/>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3,查：受控文件清单，其中有管理手册1个、程序文件</w:t>
            </w:r>
            <w:r>
              <w:rPr>
                <w:rFonts w:hint="eastAsia" w:ascii="Times New Roman" w:hAnsi="Times New Roman" w:cs="Times New Roman"/>
                <w:szCs w:val="22"/>
                <w:lang w:val="en-US" w:eastAsia="zh-CN"/>
              </w:rPr>
              <w:t>19</w:t>
            </w:r>
            <w:r>
              <w:rPr>
                <w:rFonts w:hint="eastAsia" w:ascii="Times New Roman" w:hAnsi="Times New Roman" w:eastAsia="宋体" w:cs="Times New Roman"/>
                <w:szCs w:val="22"/>
                <w:lang w:val="en-US" w:eastAsia="zh-CN"/>
              </w:rPr>
              <w:t>个、三层文件16个、外来文件18个等；</w:t>
            </w:r>
          </w:p>
          <w:p>
            <w:pPr>
              <w:adjustRightInd w:val="0"/>
              <w:snapToGrid w:val="0"/>
              <w:spacing w:line="320" w:lineRule="exact"/>
              <w:ind w:right="105" w:rightChars="50"/>
              <w:textAlignment w:val="baseline"/>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4，组织对文件进行了识别和保持，确保文件能为需要的人员及时获取；提供了《文件发放回收记录表》，将体系文件发放到各部门。有各部门领用人员签字。提供了《记录清单》，涉及一体化管理体系的记录有85个，对记录的编号也进行了规定，如：会议记录：编号：QR-5.6-02，编号具有唯一性。</w:t>
            </w:r>
          </w:p>
          <w:p>
            <w:pPr>
              <w:adjustRightInd w:val="0"/>
              <w:snapToGrid w:val="0"/>
              <w:spacing w:line="320" w:lineRule="exact"/>
              <w:ind w:right="105" w:rightChars="50"/>
              <w:textAlignment w:val="baseline"/>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查阅了记录收集情况，以上两种记录收集情况较好，记录清晰，保存在文件夹中，并存放于文件柜中，保存符合要求。查阅其它记录，</w:t>
            </w:r>
          </w:p>
          <w:p>
            <w:pPr>
              <w:adjustRightInd w:val="0"/>
              <w:snapToGrid w:val="0"/>
              <w:spacing w:line="320" w:lineRule="exact"/>
              <w:ind w:right="105" w:rightChars="50"/>
              <w:textAlignment w:val="baseline"/>
              <w:rPr>
                <w:rFonts w:hint="default"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对于外来文件能够进行标识，并控制分发范围。</w:t>
            </w:r>
          </w:p>
          <w:p>
            <w:pPr>
              <w:adjustRightInd w:val="0"/>
              <w:snapToGrid w:val="0"/>
              <w:spacing w:line="320" w:lineRule="exact"/>
              <w:ind w:right="105" w:rightChars="50"/>
              <w:textAlignment w:val="baseline"/>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基本符合要求，文件化信息、记录控制没有变化。</w:t>
            </w:r>
          </w:p>
        </w:tc>
        <w:tc>
          <w:tcPr>
            <w:tcW w:w="624"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353" w:type="dxa"/>
            <w:vAlign w:val="top"/>
          </w:tcPr>
          <w:p>
            <w:r>
              <w:rPr>
                <w:rFonts w:hint="eastAsia"/>
                <w:szCs w:val="22"/>
                <w:lang w:val="en-US" w:eastAsia="zh-CN"/>
              </w:rPr>
              <w:t xml:space="preserve">运行策划和控制 </w:t>
            </w:r>
          </w:p>
        </w:tc>
        <w:tc>
          <w:tcPr>
            <w:tcW w:w="741" w:type="dxa"/>
            <w:vAlign w:val="top"/>
          </w:tcPr>
          <w:p>
            <w:pPr>
              <w:rPr>
                <w:rFonts w:hint="eastAsia"/>
                <w:lang w:val="en-US" w:eastAsia="zh-CN"/>
              </w:rPr>
            </w:pPr>
            <w:r>
              <w:rPr>
                <w:rFonts w:hint="eastAsia"/>
                <w:lang w:val="en-US" w:eastAsia="zh-CN"/>
              </w:rPr>
              <w:t xml:space="preserve">8.1  </w:t>
            </w:r>
          </w:p>
          <w:p>
            <w:pPr>
              <w:rPr>
                <w:rFonts w:hint="eastAsia"/>
                <w:lang w:val="en-US" w:eastAsia="zh-CN"/>
              </w:rPr>
            </w:pPr>
            <w:r>
              <w:rPr>
                <w:rFonts w:hint="eastAsia"/>
                <w:lang w:val="en-US" w:eastAsia="zh-CN"/>
              </w:rPr>
              <w:t xml:space="preserve"> </w:t>
            </w:r>
          </w:p>
          <w:p/>
          <w:p>
            <w:pPr>
              <w:pStyle w:val="3"/>
            </w:pPr>
          </w:p>
          <w:p>
            <w:pPr>
              <w:pStyle w:val="3"/>
            </w:pPr>
          </w:p>
          <w:p>
            <w:pPr>
              <w:pStyle w:val="3"/>
            </w:pPr>
          </w:p>
          <w:p>
            <w:pPr>
              <w:pStyle w:val="3"/>
            </w:pPr>
          </w:p>
          <w:p>
            <w:pPr>
              <w:pStyle w:val="3"/>
            </w:pPr>
          </w:p>
        </w:tc>
        <w:tc>
          <w:tcPr>
            <w:tcW w:w="7162" w:type="dxa"/>
            <w:vAlign w:val="top"/>
          </w:tcPr>
          <w:p>
            <w:pPr>
              <w:adjustRightInd w:val="0"/>
              <w:snapToGrid w:val="0"/>
              <w:spacing w:line="320" w:lineRule="exact"/>
              <w:ind w:right="105" w:rightChars="5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本部门应执行的运行控制文件包括：</w:t>
            </w:r>
            <w:r>
              <w:rPr>
                <w:rFonts w:hint="eastAsia" w:ascii="宋体" w:hAnsi="宋体" w:eastAsia="宋体" w:cs="Arial"/>
                <w:color w:val="auto"/>
                <w:spacing w:val="-6"/>
                <w:sz w:val="21"/>
                <w:szCs w:val="21"/>
                <w:lang w:val="en-GB" w:eastAsia="zh-CN"/>
              </w:rPr>
              <w:t>环境管理控制程序、职业健康控制程序、固体废弃物管理</w:t>
            </w:r>
            <w:r>
              <w:rPr>
                <w:rFonts w:hint="eastAsia" w:ascii="宋体" w:hAnsi="宋体" w:eastAsia="宋体" w:cs="Arial"/>
                <w:color w:val="auto"/>
                <w:spacing w:val="-6"/>
                <w:sz w:val="21"/>
                <w:szCs w:val="21"/>
                <w:lang w:val="en-US" w:eastAsia="zh-CN"/>
              </w:rPr>
              <w:t>规定</w:t>
            </w:r>
            <w:r>
              <w:rPr>
                <w:rFonts w:hint="eastAsia" w:ascii="宋体" w:hAnsi="宋体" w:eastAsia="宋体" w:cs="Arial"/>
                <w:color w:val="auto"/>
                <w:spacing w:val="-6"/>
                <w:sz w:val="21"/>
                <w:szCs w:val="21"/>
                <w:lang w:val="en-GB" w:eastAsia="zh-CN"/>
              </w:rPr>
              <w:t>、</w:t>
            </w:r>
            <w:r>
              <w:rPr>
                <w:rFonts w:hint="eastAsia" w:ascii="宋体" w:hAnsi="宋体" w:eastAsia="宋体" w:cs="Arial"/>
                <w:color w:val="auto"/>
                <w:spacing w:val="-6"/>
                <w:sz w:val="21"/>
                <w:szCs w:val="21"/>
                <w:lang w:val="en-US" w:eastAsia="zh-CN"/>
              </w:rPr>
              <w:t>对相关方施加影响管理规定、节能降耗管理规定、消防安全管理制度、办公室安全管理制度、</w:t>
            </w:r>
            <w:r>
              <w:rPr>
                <w:rFonts w:hint="eastAsia" w:ascii="宋体" w:hAnsi="宋体" w:eastAsia="宋体" w:cs="Arial"/>
                <w:color w:val="auto"/>
                <w:spacing w:val="-6"/>
                <w:sz w:val="21"/>
                <w:szCs w:val="21"/>
                <w:lang w:val="en-GB" w:eastAsia="zh-CN"/>
              </w:rPr>
              <w:t>车辆管理规定、电脑使用管理办法、服务人员工作规范</w:t>
            </w:r>
            <w:r>
              <w:rPr>
                <w:rFonts w:hint="eastAsia" w:ascii="宋体" w:hAnsi="宋体" w:eastAsia="宋体" w:cs="Arial"/>
                <w:color w:val="auto"/>
                <w:spacing w:val="-6"/>
                <w:sz w:val="21"/>
                <w:szCs w:val="21"/>
                <w:lang w:val="en-US" w:eastAsia="zh-CN"/>
              </w:rPr>
              <w:t>等</w:t>
            </w:r>
          </w:p>
          <w:p>
            <w:pPr>
              <w:adjustRightInd w:val="0"/>
              <w:snapToGrid w:val="0"/>
              <w:spacing w:line="320" w:lineRule="exact"/>
              <w:ind w:right="105" w:rightChars="5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运行控制情况：</w:t>
            </w:r>
          </w:p>
          <w:p>
            <w:pPr>
              <w:adjustRightInd w:val="0"/>
              <w:snapToGrid w:val="0"/>
              <w:spacing w:line="320" w:lineRule="exact"/>
              <w:ind w:right="105" w:rightChars="5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办公室区域：污水：不涉及污水，没有污水排放。</w:t>
            </w:r>
          </w:p>
          <w:p>
            <w:pPr>
              <w:adjustRightInd w:val="0"/>
              <w:snapToGrid w:val="0"/>
              <w:spacing w:line="320" w:lineRule="exact"/>
              <w:ind w:right="105" w:rightChars="5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噪声：办公现场不产生明显噪声。</w:t>
            </w:r>
          </w:p>
          <w:p>
            <w:pPr>
              <w:adjustRightInd w:val="0"/>
              <w:snapToGrid w:val="0"/>
              <w:spacing w:line="320" w:lineRule="exact"/>
              <w:ind w:right="105" w:rightChars="5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固废：固体废物主要是办公产生废纸张等，配置了纸篓；办公用纸由行政部负责，复印、打印耗材都有行政统一负责，集中处置。</w:t>
            </w:r>
          </w:p>
          <w:p>
            <w:pPr>
              <w:adjustRightInd w:val="0"/>
              <w:snapToGrid w:val="0"/>
              <w:spacing w:line="320" w:lineRule="exact"/>
              <w:ind w:right="105" w:rightChars="50"/>
              <w:textAlignment w:val="baseline"/>
              <w:rPr>
                <w:rFonts w:hint="eastAsia" w:ascii="宋体" w:hAnsi="宋体" w:eastAsia="宋体" w:cs="Arial"/>
                <w:color w:val="auto"/>
                <w:spacing w:val="-6"/>
                <w:sz w:val="21"/>
                <w:szCs w:val="21"/>
                <w:lang w:val="en-US" w:eastAsia="zh-CN"/>
              </w:rPr>
            </w:pPr>
            <w:r>
              <w:rPr>
                <w:rFonts w:hint="eastAsia" w:ascii="宋体" w:hAnsi="宋体" w:cs="Arial"/>
                <w:color w:val="auto"/>
                <w:spacing w:val="-6"/>
                <w:sz w:val="21"/>
                <w:szCs w:val="21"/>
                <w:lang w:val="en-US" w:eastAsia="zh-CN"/>
              </w:rPr>
              <w:t>远程</w:t>
            </w:r>
            <w:r>
              <w:rPr>
                <w:rFonts w:hint="eastAsia" w:ascii="宋体" w:hAnsi="宋体" w:eastAsia="宋体" w:cs="Arial"/>
                <w:color w:val="auto"/>
                <w:spacing w:val="-6"/>
                <w:sz w:val="21"/>
                <w:szCs w:val="21"/>
                <w:lang w:val="en-US" w:eastAsia="zh-CN"/>
              </w:rPr>
              <w:t>查看办公区域，整洁、光线充足、室内空气良好、配置有空调，办公条件较好，办公设备安全状态良好，教育员工正确使用办公设备，现场用电基本规范，无乱拉线现象，防止火灾发生。</w:t>
            </w:r>
          </w:p>
          <w:p>
            <w:pPr>
              <w:adjustRightInd w:val="0"/>
              <w:snapToGrid w:val="0"/>
              <w:spacing w:line="320" w:lineRule="exact"/>
              <w:ind w:right="105" w:rightChars="5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办公过程注意节约用电，做到人走灯灭，电脑长时间不用时关机，下班前要关闭电源，防止触电。</w:t>
            </w:r>
          </w:p>
          <w:p>
            <w:pPr>
              <w:adjustRightInd w:val="0"/>
              <w:snapToGrid w:val="0"/>
              <w:spacing w:line="320" w:lineRule="exact"/>
              <w:ind w:right="105" w:rightChars="5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办公区域禁止吸烟，现场查看办公区域环境整洁、宽敞、办公设备状态良好、无安全隐患，办公区域配备有效的干粉灭火器。</w:t>
            </w:r>
          </w:p>
          <w:p>
            <w:pPr>
              <w:adjustRightInd w:val="0"/>
              <w:snapToGrid w:val="0"/>
              <w:spacing w:line="320" w:lineRule="exact"/>
              <w:ind w:right="105" w:rightChars="5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工作时间平均每天不超过8小时。</w:t>
            </w:r>
          </w:p>
          <w:p>
            <w:pPr>
              <w:adjustRightInd w:val="0"/>
              <w:snapToGrid w:val="0"/>
              <w:spacing w:line="320" w:lineRule="exact"/>
              <w:ind w:right="105" w:rightChars="50"/>
              <w:textAlignment w:val="baseline"/>
              <w:rPr>
                <w:rFonts w:hint="eastAsia" w:ascii="宋体" w:hAnsi="宋体" w:eastAsia="宋体" w:cs="Arial"/>
                <w:color w:val="auto"/>
                <w:spacing w:val="-6"/>
                <w:sz w:val="21"/>
                <w:szCs w:val="21"/>
                <w:lang w:val="en-US" w:eastAsia="zh-CN"/>
              </w:rPr>
            </w:pPr>
            <w:r>
              <w:rPr>
                <w:rFonts w:hint="eastAsia" w:ascii="宋体" w:hAnsi="宋体" w:cs="Arial"/>
                <w:color w:val="auto"/>
                <w:spacing w:val="-6"/>
                <w:sz w:val="21"/>
                <w:szCs w:val="21"/>
                <w:lang w:val="en-US" w:eastAsia="zh-CN"/>
              </w:rPr>
              <w:t>远程</w:t>
            </w:r>
            <w:r>
              <w:rPr>
                <w:rFonts w:hint="eastAsia" w:ascii="宋体" w:hAnsi="宋体" w:eastAsia="宋体" w:cs="Arial"/>
                <w:color w:val="auto"/>
                <w:spacing w:val="-6"/>
                <w:sz w:val="21"/>
                <w:szCs w:val="21"/>
                <w:lang w:val="en-US" w:eastAsia="zh-CN"/>
              </w:rPr>
              <w:t>查看办公区域配备符合要求的消防设施</w:t>
            </w:r>
          </w:p>
          <w:p>
            <w:pPr>
              <w:adjustRightInd w:val="0"/>
              <w:snapToGrid w:val="0"/>
              <w:spacing w:line="320" w:lineRule="exact"/>
              <w:ind w:right="105" w:rightChars="5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相关方施加影响：公司能够控制或能够施加影响的相关方有顾客等。提供了“致相关方的公开信”，将公司的环境/安全控制要求发放到了所有相关方:运输公司\供应商\外来员工等</w:t>
            </w:r>
          </w:p>
          <w:p>
            <w:pPr>
              <w:adjustRightInd w:val="0"/>
              <w:snapToGrid w:val="0"/>
              <w:spacing w:line="320" w:lineRule="exact"/>
              <w:ind w:right="105" w:rightChars="50"/>
              <w:textAlignment w:val="baseline"/>
            </w:pPr>
            <w:r>
              <w:rPr>
                <w:rFonts w:hint="eastAsia" w:ascii="宋体" w:hAnsi="宋体" w:eastAsia="宋体" w:cs="Arial"/>
                <w:color w:val="auto"/>
                <w:spacing w:val="-6"/>
                <w:sz w:val="21"/>
                <w:szCs w:val="21"/>
                <w:lang w:val="en-US" w:eastAsia="zh-CN"/>
              </w:rPr>
              <w:t>驾驶员要求遵守道路交通安全法规，不违章驾车，驾驶证和车辆定期年审，确保行车安全。</w:t>
            </w:r>
          </w:p>
        </w:tc>
        <w:tc>
          <w:tcPr>
            <w:tcW w:w="624" w:type="dxa"/>
            <w:vAlign w:val="top"/>
          </w:tcPr>
          <w:p>
            <w:pPr>
              <w:rPr>
                <w:rFonts w:hint="default"/>
                <w:lang w:val="en-US"/>
              </w:rPr>
            </w:pPr>
            <w:r>
              <w:rPr>
                <w:rFonts w:hint="eastAsia"/>
                <w:szCs w:val="22"/>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1353" w:type="dxa"/>
            <w:vAlign w:val="top"/>
          </w:tcPr>
          <w:p>
            <w:r>
              <w:rPr>
                <w:rFonts w:hint="eastAsia" w:ascii="Times New Roman" w:hAnsi="Times New Roman" w:eastAsia="宋体" w:cs="Times New Roman"/>
                <w:szCs w:val="22"/>
                <w:lang w:val="en-US" w:eastAsia="zh-CN"/>
              </w:rPr>
              <w:t>应急准备和响应</w:t>
            </w:r>
          </w:p>
        </w:tc>
        <w:tc>
          <w:tcPr>
            <w:tcW w:w="741" w:type="dxa"/>
            <w:vAlign w:val="top"/>
          </w:tcPr>
          <w:p>
            <w:r>
              <w:rPr>
                <w:rFonts w:hint="eastAsia" w:ascii="Times New Roman" w:hAnsi="Times New Roman" w:eastAsia="宋体" w:cs="Times New Roman"/>
                <w:szCs w:val="22"/>
                <w:lang w:val="en-US" w:eastAsia="zh-CN"/>
              </w:rPr>
              <w:t>8.2</w:t>
            </w:r>
          </w:p>
        </w:tc>
        <w:tc>
          <w:tcPr>
            <w:tcW w:w="7162" w:type="dxa"/>
            <w:vAlign w:val="top"/>
          </w:tcPr>
          <w:p>
            <w:pPr>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编制了《综合应急预案》——紧急情况主要“火灾、机械伤害、触电、中暑”等；</w:t>
            </w:r>
          </w:p>
          <w:p>
            <w:pPr>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编制依据“消防法”等、内容包括“应急领导小组成员、联系方式、应急程序处置措施”等信息；</w:t>
            </w:r>
          </w:p>
          <w:p>
            <w:pPr>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应急演练的培训情况；</w:t>
            </w:r>
          </w:p>
          <w:p>
            <w:pPr>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查定期演练记录（火灾）、日期2020.5.25.《签到表》包括等参加人签字信息、查基本真实可信；</w:t>
            </w:r>
          </w:p>
          <w:p>
            <w:pPr>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参与了预案评审；与全体员工就他们的责任和职责进行沟通并提供相关的信息；</w:t>
            </w:r>
          </w:p>
          <w:p>
            <w:r>
              <w:rPr>
                <w:rFonts w:hint="eastAsia" w:ascii="Times New Roman" w:hAnsi="Times New Roman" w:eastAsia="宋体" w:cs="Times New Roman"/>
                <w:szCs w:val="22"/>
                <w:lang w:val="en-US" w:eastAsia="zh-CN"/>
              </w:rPr>
              <w:t>查近一年来未发生过紧急情况和事故；</w:t>
            </w:r>
          </w:p>
        </w:tc>
        <w:tc>
          <w:tcPr>
            <w:tcW w:w="624" w:type="dxa"/>
            <w:vAlign w:val="top"/>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353" w:type="dxa"/>
            <w:vAlign w:val="top"/>
          </w:tcPr>
          <w:p>
            <w:pPr>
              <w:adjustRightInd w:val="0"/>
              <w:snapToGrid w:val="0"/>
              <w:spacing w:line="320" w:lineRule="exact"/>
              <w:ind w:right="105" w:rightChars="50"/>
              <w:textAlignment w:val="baseline"/>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 xml:space="preserve">监视、测量、分析和评价 </w:t>
            </w:r>
          </w:p>
          <w:p>
            <w:pPr>
              <w:adjustRightInd w:val="0"/>
              <w:snapToGrid w:val="0"/>
              <w:spacing w:line="320" w:lineRule="exact"/>
              <w:ind w:right="105" w:rightChars="50"/>
              <w:textAlignment w:val="baseline"/>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总则</w:t>
            </w:r>
          </w:p>
          <w:p>
            <w:pPr>
              <w:adjustRightInd w:val="0"/>
              <w:snapToGrid w:val="0"/>
              <w:spacing w:line="320" w:lineRule="exact"/>
              <w:ind w:right="105" w:rightChars="50"/>
              <w:textAlignment w:val="baseline"/>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分析与评价</w:t>
            </w:r>
          </w:p>
          <w:p>
            <w:pPr>
              <w:adjustRightInd w:val="0"/>
              <w:snapToGrid w:val="0"/>
              <w:spacing w:line="320" w:lineRule="exact"/>
              <w:ind w:right="105" w:rightChars="50"/>
              <w:textAlignment w:val="baseline"/>
            </w:pPr>
          </w:p>
        </w:tc>
        <w:tc>
          <w:tcPr>
            <w:tcW w:w="741" w:type="dxa"/>
            <w:vAlign w:val="top"/>
          </w:tcPr>
          <w:p>
            <w:pPr>
              <w:adjustRightInd w:val="0"/>
              <w:snapToGrid w:val="0"/>
              <w:spacing w:line="320" w:lineRule="exact"/>
              <w:ind w:right="105" w:rightChars="5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9.1.1</w:t>
            </w:r>
          </w:p>
          <w:p>
            <w:pPr>
              <w:adjustRightInd w:val="0"/>
              <w:snapToGrid w:val="0"/>
              <w:spacing w:line="320" w:lineRule="exact"/>
              <w:ind w:right="105" w:rightChars="50"/>
              <w:textAlignment w:val="baseline"/>
            </w:pPr>
          </w:p>
        </w:tc>
        <w:tc>
          <w:tcPr>
            <w:tcW w:w="7162" w:type="dxa"/>
            <w:vAlign w:val="top"/>
          </w:tcPr>
          <w:p>
            <w:pPr>
              <w:adjustRightInd w:val="0"/>
              <w:snapToGrid w:val="0"/>
              <w:spacing w:line="320" w:lineRule="exact"/>
              <w:ind w:right="105" w:rightChars="50"/>
              <w:textAlignment w:val="baseline"/>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提供《运营部过程监视和测量方案》监视测量项目包括“公司培训计划、日常环境卫生检查等”；</w:t>
            </w:r>
          </w:p>
          <w:p>
            <w:pPr>
              <w:adjustRightInd w:val="0"/>
              <w:snapToGrid w:val="0"/>
              <w:spacing w:line="320" w:lineRule="exact"/>
              <w:ind w:right="105" w:rightChars="50"/>
              <w:textAlignment w:val="baseline"/>
              <w:rPr>
                <w:rFonts w:hint="default"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查《环境安全目标指标》均已完成、日期2020.1.19.；</w:t>
            </w:r>
          </w:p>
          <w:p>
            <w:pPr>
              <w:adjustRightInd w:val="0"/>
              <w:snapToGrid w:val="0"/>
              <w:spacing w:line="320" w:lineRule="exact"/>
              <w:ind w:right="105" w:rightChars="50"/>
              <w:textAlignment w:val="baseline"/>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现场审核：销售过程在办公区中进行、无废气、噪音等排放、生活污水按照要求排入下水道、办公垃圾及时运走、提供《固废的分类报告》包括“墨盒硒鼓的更换信息”；</w:t>
            </w:r>
          </w:p>
          <w:p>
            <w:pPr>
              <w:adjustRightInd w:val="0"/>
              <w:snapToGrid w:val="0"/>
              <w:spacing w:line="320" w:lineRule="exact"/>
              <w:ind w:right="105" w:rightChars="50"/>
              <w:textAlignment w:val="baseline"/>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另提供《日常安全检查记录》检查项目“办公区的安全卫生、用电、火情”等、结论合格、检查人李颖；</w:t>
            </w:r>
          </w:p>
          <w:p>
            <w:pPr>
              <w:adjustRightInd w:val="0"/>
              <w:snapToGrid w:val="0"/>
              <w:spacing w:line="320" w:lineRule="exact"/>
              <w:ind w:right="105" w:rightChars="50"/>
              <w:textAlignment w:val="baseline"/>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另摄像头、感烟感温报警器——处于正常状态；</w:t>
            </w:r>
          </w:p>
          <w:p>
            <w:pPr>
              <w:adjustRightInd w:val="0"/>
              <w:snapToGrid w:val="0"/>
              <w:spacing w:line="320" w:lineRule="exact"/>
              <w:ind w:right="105" w:rightChars="50"/>
              <w:textAlignment w:val="baseline"/>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提供《消防器材一览表》办公室2件、有效期3年、日常有点检确认信息、符合规定；</w:t>
            </w:r>
          </w:p>
          <w:p>
            <w:pPr>
              <w:adjustRightInd w:val="0"/>
              <w:snapToGrid w:val="0"/>
              <w:spacing w:line="320" w:lineRule="exact"/>
              <w:ind w:right="105" w:rightChars="50"/>
              <w:textAlignment w:val="baseline"/>
              <w:rPr>
                <w:rFonts w:hint="default"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现场查无特种设备；</w:t>
            </w:r>
          </w:p>
          <w:p>
            <w:pPr>
              <w:adjustRightInd w:val="0"/>
              <w:snapToGrid w:val="0"/>
              <w:spacing w:line="320" w:lineRule="exact"/>
              <w:ind w:right="105" w:rightChars="50"/>
              <w:textAlignment w:val="baseline"/>
            </w:pPr>
            <w:r>
              <w:rPr>
                <w:rFonts w:hint="eastAsia" w:ascii="Times New Roman" w:hAnsi="Times New Roman" w:eastAsia="宋体" w:cs="Times New Roman"/>
                <w:szCs w:val="22"/>
                <w:lang w:val="en-US" w:eastAsia="zh-CN"/>
              </w:rPr>
              <w:t>2020年受到疫情影响、销售活动停滞、故未做体检；</w:t>
            </w:r>
          </w:p>
        </w:tc>
        <w:tc>
          <w:tcPr>
            <w:tcW w:w="624" w:type="dxa"/>
            <w:vAlign w:val="top"/>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353" w:type="dxa"/>
          </w:tcPr>
          <w:p>
            <w:pPr>
              <w:adjustRightInd w:val="0"/>
              <w:snapToGrid w:val="0"/>
              <w:spacing w:line="320" w:lineRule="exact"/>
              <w:ind w:right="105" w:rightChars="5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内部审核</w:t>
            </w:r>
          </w:p>
          <w:p>
            <w:pPr>
              <w:adjustRightInd w:val="0"/>
              <w:snapToGrid w:val="0"/>
              <w:spacing w:line="320" w:lineRule="exact"/>
              <w:ind w:right="105" w:rightChars="50"/>
              <w:textAlignment w:val="baseline"/>
              <w:rPr>
                <w:rFonts w:hint="eastAsia" w:ascii="宋体" w:hAnsi="宋体" w:eastAsia="宋体" w:cs="Arial"/>
                <w:color w:val="auto"/>
                <w:spacing w:val="-6"/>
                <w:sz w:val="21"/>
                <w:szCs w:val="21"/>
                <w:lang w:val="en-US" w:eastAsia="zh-CN"/>
              </w:rPr>
            </w:pPr>
          </w:p>
        </w:tc>
        <w:tc>
          <w:tcPr>
            <w:tcW w:w="741" w:type="dxa"/>
          </w:tcPr>
          <w:p>
            <w:pPr>
              <w:adjustRightInd w:val="0"/>
              <w:snapToGrid w:val="0"/>
              <w:spacing w:line="320" w:lineRule="exact"/>
              <w:ind w:right="105" w:rightChars="5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 xml:space="preserve">9.2 </w:t>
            </w:r>
          </w:p>
          <w:p>
            <w:pPr>
              <w:adjustRightInd w:val="0"/>
              <w:snapToGrid w:val="0"/>
              <w:spacing w:line="320" w:lineRule="exact"/>
              <w:ind w:right="105" w:rightChars="50"/>
              <w:textAlignment w:val="baseline"/>
              <w:rPr>
                <w:rFonts w:hint="eastAsia" w:ascii="宋体" w:hAnsi="宋体" w:eastAsia="宋体" w:cs="Arial"/>
                <w:color w:val="auto"/>
                <w:spacing w:val="-6"/>
                <w:sz w:val="21"/>
                <w:szCs w:val="21"/>
                <w:lang w:val="en-US" w:eastAsia="zh-CN"/>
              </w:rPr>
            </w:pPr>
          </w:p>
        </w:tc>
        <w:tc>
          <w:tcPr>
            <w:tcW w:w="7162" w:type="dxa"/>
          </w:tcPr>
          <w:p>
            <w:pPr>
              <w:adjustRightInd w:val="0"/>
              <w:snapToGrid w:val="0"/>
              <w:spacing w:line="320" w:lineRule="exact"/>
              <w:ind w:right="105" w:rightChars="50"/>
              <w:textAlignment w:val="baseline"/>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编制了《2019~2020年（环境、职业健康安全管理体系）内审策划方案》包括审核目的、范围、依据标准和文件、审核组成员、审核时间的安排等信息；批准人“李阳”、日期“2019.12.23.”；</w:t>
            </w:r>
          </w:p>
          <w:p>
            <w:pPr>
              <w:adjustRightInd w:val="0"/>
              <w:snapToGrid w:val="0"/>
              <w:spacing w:line="320" w:lineRule="exact"/>
              <w:ind w:right="105" w:rightChars="50"/>
              <w:textAlignment w:val="baseline"/>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编制了《内部审核计划》预计审核时间“2019.12.30-31.”、范围覆盖体系内的所有部门，内审员人“2”名、组长“李和强”、 抽查内审员“李颖”培训或资质有效；</w:t>
            </w:r>
          </w:p>
          <w:p>
            <w:pPr>
              <w:adjustRightInd w:val="0"/>
              <w:snapToGrid w:val="0"/>
              <w:spacing w:line="320" w:lineRule="exact"/>
              <w:ind w:right="105" w:rightChars="50"/>
              <w:textAlignment w:val="baseline"/>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另查“审核计划”中不存在内审员审核本职部门的情况；</w:t>
            </w:r>
          </w:p>
          <w:p>
            <w:pPr>
              <w:adjustRightInd w:val="0"/>
              <w:snapToGrid w:val="0"/>
              <w:spacing w:line="320" w:lineRule="exact"/>
              <w:ind w:right="105" w:rightChars="50"/>
              <w:textAlignment w:val="baseline"/>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提供《首、末次会议签到表》包括了“生产部”在内的部门负责人签到信息、日期“2019.12.30.”；</w:t>
            </w:r>
          </w:p>
          <w:p>
            <w:pPr>
              <w:adjustRightInd w:val="0"/>
              <w:snapToGrid w:val="0"/>
              <w:spacing w:line="320" w:lineRule="exact"/>
              <w:ind w:right="105" w:rightChars="50"/>
              <w:textAlignment w:val="baseline"/>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 xml:space="preserve">提供《内部审核检查记录表》6份，抽查1份，财务部部，审核条款“ES: 5.2/5.3/6.2/6.1.2/8.1”等、审核内容：“逐条条款内容、实际情况检查、判断是否符合标准”、方式“谈看查”——查审核内容基本符合标准要求； </w:t>
            </w:r>
          </w:p>
          <w:p>
            <w:pPr>
              <w:adjustRightInd w:val="0"/>
              <w:snapToGrid w:val="0"/>
              <w:spacing w:line="320" w:lineRule="exact"/>
              <w:ind w:right="105" w:rightChars="50"/>
              <w:textAlignment w:val="baseline"/>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审核提出了不符合1项、观察项“0”项； 《不合格报告》 包括不合格事实描述“办公室文件物发放记录”、严重程度“一般”、查纠正措施及管代批准签字日期“2020.1.3.”、跟踪验证结论“有效”；</w:t>
            </w:r>
          </w:p>
          <w:p>
            <w:pPr>
              <w:adjustRightInd w:val="0"/>
              <w:snapToGrid w:val="0"/>
              <w:spacing w:line="320" w:lineRule="exact"/>
              <w:ind w:right="105" w:rightChars="50"/>
              <w:textAlignment w:val="baseline"/>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检查《审核报告》其中基本概况包括审核时间、审核计划、组织、审核文件的准备、实施等内容，内审报告结论“体系运行基本有效”；</w:t>
            </w:r>
          </w:p>
          <w:p>
            <w:pPr>
              <w:adjustRightInd w:val="0"/>
              <w:snapToGrid w:val="0"/>
              <w:spacing w:line="320" w:lineRule="exact"/>
              <w:ind w:right="105" w:rightChars="50"/>
              <w:textAlignment w:val="baseline"/>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报告就不合格项分布、不合格分析、分析意见及实际工作内容进行了梳理和整理、提出了按照标准进一步完善管理体系、运行持续稳定、全员不断深入理解和贯彻企业方针和目标、加强各项管理工作、完善自我改进机制，不断取得 顾客满意，各个部门职责的明确、培训加强、关注顾客满意和沟通、对环境的检测及时收集信息进行分析解决等提出了进一步要求；</w:t>
            </w:r>
          </w:p>
          <w:p>
            <w:pPr>
              <w:adjustRightInd w:val="0"/>
              <w:snapToGrid w:val="0"/>
              <w:spacing w:line="320" w:lineRule="exact"/>
              <w:ind w:right="105" w:rightChars="50"/>
              <w:textAlignment w:val="baseline"/>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报告审批人“李合强”，日期“2020.1.6.”；</w:t>
            </w:r>
          </w:p>
        </w:tc>
        <w:tc>
          <w:tcPr>
            <w:tcW w:w="624"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353" w:type="dxa"/>
          </w:tcPr>
          <w:p>
            <w:pPr>
              <w:adjustRightInd w:val="0"/>
              <w:snapToGrid w:val="0"/>
              <w:spacing w:line="320" w:lineRule="exact"/>
              <w:ind w:right="105" w:rightChars="50"/>
              <w:textAlignment w:val="baseline"/>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不合格和纠正措施</w:t>
            </w:r>
          </w:p>
          <w:p>
            <w:pPr>
              <w:adjustRightInd w:val="0"/>
              <w:snapToGrid w:val="0"/>
              <w:spacing w:line="320" w:lineRule="exact"/>
              <w:ind w:right="105" w:rightChars="50"/>
              <w:textAlignment w:val="baseline"/>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事件、不符合和纠正措施</w:t>
            </w:r>
          </w:p>
          <w:p>
            <w:pPr>
              <w:adjustRightInd w:val="0"/>
              <w:snapToGrid w:val="0"/>
              <w:spacing w:line="320" w:lineRule="exact"/>
              <w:ind w:right="105" w:rightChars="50"/>
              <w:textAlignment w:val="baseline"/>
              <w:rPr>
                <w:rFonts w:hint="eastAsia" w:ascii="Times New Roman" w:hAnsi="Times New Roman" w:eastAsia="宋体" w:cs="Times New Roman"/>
                <w:szCs w:val="22"/>
                <w:lang w:val="en-US" w:eastAsia="zh-CN"/>
              </w:rPr>
            </w:pPr>
          </w:p>
        </w:tc>
        <w:tc>
          <w:tcPr>
            <w:tcW w:w="741" w:type="dxa"/>
          </w:tcPr>
          <w:p>
            <w:pPr>
              <w:adjustRightInd w:val="0"/>
              <w:snapToGrid w:val="0"/>
              <w:spacing w:line="320" w:lineRule="exact"/>
              <w:ind w:right="105" w:rightChars="50"/>
              <w:textAlignment w:val="baseline"/>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 xml:space="preserve">10.2 </w:t>
            </w:r>
          </w:p>
          <w:p>
            <w:pPr>
              <w:adjustRightInd w:val="0"/>
              <w:snapToGrid w:val="0"/>
              <w:spacing w:line="320" w:lineRule="exact"/>
              <w:ind w:right="105" w:rightChars="50"/>
              <w:textAlignment w:val="baseline"/>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 xml:space="preserve"> </w:t>
            </w:r>
          </w:p>
          <w:p>
            <w:pPr>
              <w:adjustRightInd w:val="0"/>
              <w:snapToGrid w:val="0"/>
              <w:spacing w:line="320" w:lineRule="exact"/>
              <w:ind w:right="105" w:rightChars="50"/>
              <w:textAlignment w:val="baseline"/>
              <w:rPr>
                <w:rFonts w:hint="eastAsia" w:ascii="Times New Roman" w:hAnsi="Times New Roman" w:eastAsia="宋体" w:cs="Times New Roman"/>
                <w:szCs w:val="22"/>
                <w:lang w:val="en-US" w:eastAsia="zh-CN"/>
              </w:rPr>
            </w:pPr>
          </w:p>
        </w:tc>
        <w:tc>
          <w:tcPr>
            <w:tcW w:w="7162" w:type="dxa"/>
          </w:tcPr>
          <w:p>
            <w:pPr>
              <w:adjustRightInd w:val="0"/>
              <w:snapToGrid w:val="0"/>
              <w:spacing w:line="320" w:lineRule="exact"/>
              <w:ind w:right="105" w:rightChars="50"/>
              <w:textAlignment w:val="baseline"/>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 xml:space="preserve">编制了《不合格处置记录》、《事件、不符合和纠正措施》内容包括“不合格现象（事件）描述”、“严重程度（一般、比较严重、非常严重）”，“采取的控制和纠正措施”；“不合格的原因分析”、“采取纠正措施的必要性分析”、“实施的纠正措施内容”、“纠正措施的验证”、“风险机遇及体系的更新和变更”等项、有相关部门确认的栏目、批准及日期信息； </w:t>
            </w:r>
          </w:p>
          <w:p>
            <w:pPr>
              <w:adjustRightInd w:val="0"/>
              <w:snapToGrid w:val="0"/>
              <w:spacing w:line="320" w:lineRule="exact"/>
              <w:ind w:right="105" w:rightChars="50"/>
              <w:textAlignment w:val="baseline"/>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另查本部门内审和管理评审中出现不合格1项的处置情况：纠正措施有效性均已验证、不合格关闭；</w:t>
            </w:r>
          </w:p>
          <w:p>
            <w:pPr>
              <w:adjustRightInd w:val="0"/>
              <w:snapToGrid w:val="0"/>
              <w:spacing w:line="320" w:lineRule="exact"/>
              <w:ind w:right="105" w:rightChars="50"/>
              <w:textAlignment w:val="baseline"/>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查内审和管理评审未见本部门的不合格项；</w:t>
            </w:r>
          </w:p>
          <w:p>
            <w:pPr>
              <w:adjustRightInd w:val="0"/>
              <w:snapToGrid w:val="0"/>
              <w:spacing w:line="320" w:lineRule="exact"/>
              <w:ind w:right="105" w:rightChars="50"/>
              <w:textAlignment w:val="baseline"/>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查在过去的一年里未发生的事件 ；</w:t>
            </w:r>
          </w:p>
        </w:tc>
        <w:tc>
          <w:tcPr>
            <w:tcW w:w="624" w:type="dxa"/>
          </w:tcPr>
          <w:p>
            <w:pPr>
              <w:rPr>
                <w:rFonts w:hint="eastAsia" w:eastAsia="宋体"/>
                <w:lang w:val="en-US" w:eastAsia="zh-CN"/>
              </w:rPr>
            </w:pPr>
            <w:r>
              <w:rPr>
                <w:rFonts w:hint="eastAsia"/>
                <w:lang w:val="en-US" w:eastAsia="zh-CN"/>
              </w:rPr>
              <w:t>y</w:t>
            </w:r>
          </w:p>
        </w:tc>
      </w:tr>
    </w:tbl>
    <w:p>
      <w:pPr>
        <w:pStyle w:val="5"/>
      </w:pPr>
    </w:p>
    <w:sectPr>
      <w:headerReference r:id="rId3" w:type="default"/>
      <w:footerReference r:id="rId4" w:type="default"/>
      <w:pgSz w:w="11906" w:h="16838"/>
      <w:pgMar w:top="1083" w:right="1440" w:bottom="1083" w:left="1440" w:header="851" w:footer="992" w:gutter="0"/>
      <w:paperSrc/>
      <w:cols w:space="0" w:num="1"/>
      <w:rtlGutter w:val="0"/>
      <w:docGrid w:type="lines" w:linePitch="32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华文细黑">
    <w:altName w:val="微软雅黑"/>
    <w:panose1 w:val="00000000000000000000"/>
    <w:charset w:val="86"/>
    <w:family w:val="auto"/>
    <w:pitch w:val="default"/>
    <w:sig w:usb0="00000000" w:usb1="00000000" w:usb2="00000010" w:usb3="00000000" w:csb0="0004009F" w:csb1="00000000"/>
  </w:font>
  <w:font w:name="STXihei">
    <w:altName w:val="宋体"/>
    <w:panose1 w:val="00000000000000000000"/>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5"/>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6"/>
      <w:pBdr>
        <w:bottom w:val="none" w:color="auto" w:sz="0" w:space="0"/>
      </w:pBdr>
      <w:spacing w:line="320" w:lineRule="exact"/>
      <w:jc w:val="left"/>
    </w:pPr>
    <w:r>
      <mc:AlternateContent>
        <mc:Choice Requires="wps">
          <w:drawing>
            <wp:anchor distT="0" distB="0" distL="114300" distR="114300" simplePos="0" relativeHeight="251658240" behindDoc="0" locked="0" layoutInCell="1" allowOverlap="1">
              <wp:simplePos x="0" y="0"/>
              <wp:positionH relativeFrom="column">
                <wp:posOffset>7045325</wp:posOffset>
              </wp:positionH>
              <wp:positionV relativeFrom="paragraph">
                <wp:posOffset>27940</wp:posOffset>
              </wp:positionV>
              <wp:extent cx="2184400" cy="256540"/>
              <wp:effectExtent l="0" t="0" r="6350" b="1016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a:noFill/>
                      </a:ln>
                    </wps:spPr>
                    <wps:txbx>
                      <w:txbxContent>
                        <w:p>
                          <w:r>
                            <w:rPr>
                              <w:rFonts w:hint="eastAsia"/>
                              <w:sz w:val="18"/>
                              <w:szCs w:val="18"/>
                            </w:rPr>
                            <w:t>ISC-B-II-1</w:t>
                          </w:r>
                          <w:r>
                            <w:rPr>
                              <w:sz w:val="18"/>
                              <w:szCs w:val="18"/>
                            </w:rPr>
                            <w:t>2</w:t>
                          </w:r>
                          <w:r>
                            <w:rPr>
                              <w:rFonts w:hint="eastAsia"/>
                              <w:sz w:val="18"/>
                              <w:szCs w:val="18"/>
                            </w:rPr>
                            <w:t xml:space="preserve"> 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58240;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IQaq5dYAAAAKAQAADwAA&#10;AAAAAAABACAAAAAiAAAAZHJzL2Rvd25yZXYueG1sUEsBAhQAFAAAAAgAh07iQKAm76SmAQAAKQMA&#10;AA4AAAAAAAAAAQAgAAAAJQEAAGRycy9lMm9Eb2MueG1sUEsFBgAAAAAGAAYAWQEAAD0FAAAAAA==&#10;">
              <v:fill on="t" focussize="0,0"/>
              <v:stroke on="f"/>
              <v:imagedata o:title=""/>
              <o:lock v:ext="edit" aspectratio="f"/>
              <v:textbox>
                <w:txbxContent>
                  <w:p>
                    <w:r>
                      <w:rPr>
                        <w:rFonts w:hint="eastAsia"/>
                        <w:sz w:val="18"/>
                        <w:szCs w:val="18"/>
                      </w:rPr>
                      <w:t>ISC-B-II-1</w:t>
                    </w:r>
                    <w:r>
                      <w:rPr>
                        <w:sz w:val="18"/>
                        <w:szCs w:val="18"/>
                      </w:rPr>
                      <w:t>2</w:t>
                    </w:r>
                    <w:r>
                      <w:rPr>
                        <w:rFonts w:hint="eastAsia"/>
                        <w:sz w:val="18"/>
                        <w:szCs w:val="18"/>
                      </w:rPr>
                      <w:t xml:space="preserve"> 管理体系审核记录表(03版)</w:t>
                    </w:r>
                  </w:p>
                </w:txbxContent>
              </v:textbox>
            </v:shape>
          </w:pict>
        </mc:Fallback>
      </mc:AlternateContent>
    </w:r>
    <w:r>
      <w:rPr>
        <w:rStyle w:val="14"/>
        <w:rFonts w:hint="default"/>
      </w:rPr>
      <w:t xml:space="preserve">        </w:t>
    </w:r>
    <w:r>
      <w:rPr>
        <w:rStyle w:val="14"/>
        <w:rFonts w:hint="default"/>
        <w:w w:val="90"/>
      </w:rPr>
      <w:t>Beijing International Standard united Certification Co.,Ltd.</w:t>
    </w:r>
    <w:r>
      <w:rPr>
        <w:rStyle w:val="14"/>
        <w:rFonts w:hint="default"/>
        <w:w w:val="90"/>
        <w:szCs w:val="21"/>
      </w:rPr>
      <w:t xml:space="preserve">  </w:t>
    </w:r>
    <w:r>
      <w:rPr>
        <w:rStyle w:val="14"/>
        <w:rFonts w:hint="default"/>
        <w:w w:val="90"/>
        <w:sz w:val="20"/>
      </w:rPr>
      <w:t xml:space="preserve"> </w:t>
    </w:r>
    <w:r>
      <w:rPr>
        <w:rStyle w:val="14"/>
        <w:rFonts w:hint="default"/>
        <w:w w:val="90"/>
      </w:rPr>
      <w:t xml:space="preserve">                   </w:t>
    </w:r>
  </w:p>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bordersDoNotSurroundHeader w:val="1"/>
  <w:bordersDoNotSurroundFooter w:val="1"/>
  <w:doNotTrackMoves/>
  <w:documentProtection w:enforcement="0"/>
  <w:defaultTabStop w:val="420"/>
  <w:drawingGridHorizontalSpacing w:val="105"/>
  <w:drawingGridVerticalSpacing w:val="16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E61991"/>
    <w:rsid w:val="140A41E9"/>
    <w:rsid w:val="3C360424"/>
    <w:rsid w:val="49197F52"/>
    <w:rsid w:val="53103FDA"/>
    <w:rsid w:val="6FFC326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qFormat="1" w:unhideWhenUsed="0" w:uiPriority="0"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unhideWhenUsed/>
    <w:qFormat/>
    <w:uiPriority w:val="0"/>
    <w:pPr>
      <w:spacing w:after="120"/>
    </w:pPr>
  </w:style>
  <w:style w:type="paragraph" w:styleId="4">
    <w:name w:val="Balloon Text"/>
    <w:basedOn w:val="1"/>
    <w:link w:val="13"/>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39"/>
    <w:pPr>
      <w:spacing w:before="120" w:after="120"/>
      <w:jc w:val="left"/>
    </w:pPr>
    <w:rPr>
      <w:rFonts w:ascii="Calibri" w:hAnsi="Calibri" w:cs="Calibri"/>
      <w:b/>
      <w:bCs/>
      <w:caps/>
      <w:sz w:val="20"/>
      <w:szCs w:val="20"/>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页眉 字符"/>
    <w:basedOn w:val="10"/>
    <w:link w:val="6"/>
    <w:qFormat/>
    <w:uiPriority w:val="99"/>
    <w:rPr>
      <w:rFonts w:ascii="Times New Roman" w:hAnsi="Times New Roman" w:eastAsia="宋体" w:cs="Times New Roman"/>
      <w:sz w:val="18"/>
      <w:szCs w:val="18"/>
    </w:rPr>
  </w:style>
  <w:style w:type="character" w:customStyle="1" w:styleId="12">
    <w:name w:val="页脚 字符"/>
    <w:basedOn w:val="10"/>
    <w:link w:val="5"/>
    <w:qFormat/>
    <w:uiPriority w:val="99"/>
    <w:rPr>
      <w:rFonts w:ascii="Times New Roman" w:hAnsi="Times New Roman" w:eastAsia="宋体" w:cs="Times New Roman"/>
      <w:sz w:val="18"/>
      <w:szCs w:val="18"/>
    </w:rPr>
  </w:style>
  <w:style w:type="character" w:customStyle="1" w:styleId="13">
    <w:name w:val="批注框文本 字符"/>
    <w:basedOn w:val="10"/>
    <w:link w:val="4"/>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22</Words>
  <Characters>130</Characters>
  <Lines>1</Lines>
  <Paragraphs>1</Paragraphs>
  <TotalTime>1</TotalTime>
  <ScaleCrop>false</ScaleCrop>
  <LinksUpToDate>false</LinksUpToDate>
  <CharactersWithSpaces>151</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开门大吉～ISO认证服务</cp:lastModifiedBy>
  <dcterms:modified xsi:type="dcterms:W3CDTF">2020-10-18T01:19:33Z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