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760" w:firstLineChars="1600"/>
        <w:jc w:val="both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829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829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李建花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刘梅红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829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2020.7.29</w:t>
            </w:r>
          </w:p>
        </w:tc>
        <w:tc>
          <w:tcPr>
            <w:tcW w:w="1362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829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E/O: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8.1运行控制、8.2应急准备和响应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9.2 内部审核、10.2不符合/事件和纠正措施</w:t>
            </w:r>
            <w:r>
              <w:rPr>
                <w:rFonts w:hint="eastAsia" w:ascii="宋体" w:hAnsi="宋体" w:cs="Arial"/>
                <w:sz w:val="24"/>
                <w:szCs w:val="24"/>
              </w:rPr>
              <w:t>，</w:t>
            </w:r>
          </w:p>
        </w:tc>
        <w:tc>
          <w:tcPr>
            <w:tcW w:w="1362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 5.3</w:t>
            </w:r>
          </w:p>
        </w:tc>
        <w:tc>
          <w:tcPr>
            <w:tcW w:w="10829" w:type="dxa"/>
          </w:tcPr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现场审核了解到部门主要负责：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a)负责文件、记录的控制、管理；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b)负责进行员工岗位能力考核、制定并实施公司培训计划及有效性评价；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c)负责组织进行与与顾客的沟通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d)负责采购控制；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f)负责管理评审的准备工作，收集管理评审所需资料并保存。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g)负责组织内部审核的实施，负责与内审有关文件的收发，整理、保存内审记录；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h)负责公司环境和职业健康安全管理资金的及时提供；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i)负责公司财务的管理和资金的管理与运作；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j)负责职工医疗、养老、失业、生育、工伤保险等基金的交纳和管理；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k)向分管领导和管理评审报告本部门管理体系运行情况和改进建议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l)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负责组织相关部门识别公司及各部门的危险源，并制定措施，进行控制；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m)负责组织相关部门收集、识别、更新公司适用的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环境、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职业健康安全法律法规；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n)负责公司的消防日常管理，制订应急预案，组织消防演练。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EO 6.2</w:t>
            </w:r>
          </w:p>
        </w:tc>
        <w:tc>
          <w:tcPr>
            <w:tcW w:w="10829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商务管理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部目标：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pict>
                <v:shape id="_x0000_i1025" o:spt="75" type="#_x0000_t75" style="height:151.1pt;width:519.1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36"/>
              </w:rPr>
              <w:t xml:space="preserve"> </w:t>
            </w:r>
          </w:p>
          <w:p>
            <w:pPr>
              <w:autoSpaceDE w:val="0"/>
              <w:autoSpaceDN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20年6月3日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经考核已完成。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抽环境安全管理方案，明确了措施、责任人、时间、资金投入要求：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lang w:eastAsia="zh-CN"/>
              </w:rPr>
              <w:t>安全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管理方案</w:t>
            </w:r>
          </w:p>
          <w:p>
            <w:pPr>
              <w:spacing w:line="500" w:lineRule="exact"/>
              <w:rPr>
                <w:rFonts w:hint="eastAsia" w:ascii="宋体" w:hAnsi="宋体" w:eastAsia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编号：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TZ</w:t>
            </w:r>
            <w:r>
              <w:rPr>
                <w:rFonts w:hint="eastAsia" w:ascii="宋体" w:hAnsi="宋体"/>
                <w:szCs w:val="21"/>
              </w:rPr>
              <w:t>/JL-ZA-00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6"/>
              <w:gridCol w:w="675"/>
              <w:gridCol w:w="741"/>
              <w:gridCol w:w="1414"/>
              <w:gridCol w:w="1414"/>
              <w:gridCol w:w="1413"/>
              <w:gridCol w:w="955"/>
              <w:gridCol w:w="1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2091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重大危险源</w:t>
                  </w:r>
                </w:p>
              </w:tc>
              <w:tc>
                <w:tcPr>
                  <w:tcW w:w="4982" w:type="dxa"/>
                  <w:gridSpan w:val="4"/>
                  <w:noWrap w:val="0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触电</w:t>
                  </w:r>
                </w:p>
              </w:tc>
              <w:tc>
                <w:tcPr>
                  <w:tcW w:w="9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编号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0" w:hRule="atLeast"/>
                <w:jc w:val="center"/>
              </w:trPr>
              <w:tc>
                <w:tcPr>
                  <w:tcW w:w="2091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现状</w:t>
                  </w:r>
                </w:p>
              </w:tc>
              <w:tc>
                <w:tcPr>
                  <w:tcW w:w="7017" w:type="dxa"/>
                  <w:gridSpan w:val="6"/>
                  <w:noWrap w:val="0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无具体防护措施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0" w:hRule="atLeast"/>
                <w:jc w:val="center"/>
              </w:trPr>
              <w:tc>
                <w:tcPr>
                  <w:tcW w:w="2091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目标</w:t>
                  </w:r>
                </w:p>
              </w:tc>
              <w:tc>
                <w:tcPr>
                  <w:tcW w:w="7017" w:type="dxa"/>
                  <w:gridSpan w:val="6"/>
                  <w:noWrap w:val="0"/>
                  <w:vAlign w:val="top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hint="eastAsia" w:cs="宋体"/>
                      <w:color w:val="auto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杜绝重伤及以上人身伤亡事故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0" w:hRule="atLeast"/>
                <w:jc w:val="center"/>
              </w:trPr>
              <w:tc>
                <w:tcPr>
                  <w:tcW w:w="2091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指标</w:t>
                  </w:r>
                </w:p>
              </w:tc>
              <w:tc>
                <w:tcPr>
                  <w:tcW w:w="7017" w:type="dxa"/>
                  <w:gridSpan w:val="6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杜绝重伤及以上人身伤亡事故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2091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管理方案名称</w:t>
                  </w:r>
                </w:p>
              </w:tc>
              <w:tc>
                <w:tcPr>
                  <w:tcW w:w="7017" w:type="dxa"/>
                  <w:gridSpan w:val="6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加强用电设备的安全防护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，加强员工教育，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制定应急救援预案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72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spacing w:line="3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1、在办公区域设置防触电警示牌。</w:t>
                  </w:r>
                </w:p>
                <w:p>
                  <w:pPr>
                    <w:spacing w:line="3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2、管理层组织防触电培训。</w:t>
                  </w:r>
                </w:p>
                <w:p>
                  <w:pPr>
                    <w:spacing w:line="300" w:lineRule="exact"/>
                    <w:rPr>
                      <w:rFonts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3、完善制定人员伤害应急预案，成立应急小组；</w:t>
                  </w:r>
                </w:p>
                <w:p>
                  <w:pPr>
                    <w:spacing w:line="300" w:lineRule="exact"/>
                    <w:rPr>
                      <w:rFonts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4、对有电器运行的区域加强监督及防范；</w:t>
                  </w:r>
                </w:p>
                <w:p>
                  <w:pPr>
                    <w:spacing w:line="380" w:lineRule="exact"/>
                    <w:rPr>
                      <w:rFonts w:hint="eastAsia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  <w:jc w:val="center"/>
              </w:trPr>
              <w:tc>
                <w:tcPr>
                  <w:tcW w:w="1416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启动时间</w:t>
                  </w:r>
                </w:p>
              </w:tc>
              <w:tc>
                <w:tcPr>
                  <w:tcW w:w="1416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完成时间</w:t>
                  </w:r>
                </w:p>
              </w:tc>
              <w:tc>
                <w:tcPr>
                  <w:tcW w:w="1414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责任部门</w:t>
                  </w:r>
                </w:p>
              </w:tc>
              <w:tc>
                <w:tcPr>
                  <w:tcW w:w="1414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相关部门</w:t>
                  </w:r>
                </w:p>
              </w:tc>
              <w:tc>
                <w:tcPr>
                  <w:tcW w:w="1413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资金预算</w:t>
                  </w:r>
                </w:p>
              </w:tc>
              <w:tc>
                <w:tcPr>
                  <w:tcW w:w="2035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检查人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  <w:jc w:val="center"/>
              </w:trPr>
              <w:tc>
                <w:tcPr>
                  <w:tcW w:w="1416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2019.11.01</w:t>
                  </w:r>
                </w:p>
              </w:tc>
              <w:tc>
                <w:tcPr>
                  <w:tcW w:w="1416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2020.10.31</w:t>
                  </w:r>
                </w:p>
              </w:tc>
              <w:tc>
                <w:tcPr>
                  <w:tcW w:w="141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商务部</w:t>
                  </w:r>
                </w:p>
              </w:tc>
              <w:tc>
                <w:tcPr>
                  <w:tcW w:w="141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其它部门</w:t>
                  </w:r>
                </w:p>
              </w:tc>
              <w:tc>
                <w:tcPr>
                  <w:tcW w:w="1413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1000元</w:t>
                  </w:r>
                </w:p>
              </w:tc>
              <w:tc>
                <w:tcPr>
                  <w:tcW w:w="2035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李建花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审核意见：</w:t>
                  </w:r>
                </w:p>
                <w:p>
                  <w:pPr>
                    <w:spacing w:line="380" w:lineRule="exact"/>
                    <w:ind w:firstLine="480" w:firstLineChars="20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对老设备进行检查，是否存在潜在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触电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危险，要把解决的方案落实</w:t>
                  </w:r>
                </w:p>
                <w:p>
                  <w:pPr>
                    <w:spacing w:line="380" w:lineRule="exact"/>
                    <w:ind w:firstLine="480" w:firstLineChars="200"/>
                    <w:rPr>
                      <w:rFonts w:hint="eastAsia" w:ascii="宋体" w:hAnsi="宋体"/>
                      <w:color w:val="auto"/>
                      <w:sz w:val="24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                          审核人：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李建花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日期：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2019.11.01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4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批准意见：</w:t>
                  </w:r>
                </w:p>
                <w:p>
                  <w:pPr>
                    <w:adjustRightInd w:val="0"/>
                    <w:snapToGrid w:val="0"/>
                    <w:ind w:firstLine="1560" w:firstLineChars="65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同意所采取的管理方案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                  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审核人：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林建敏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日期：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2019.11.01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0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完成情况：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正在实施中，按计划进行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                           审核人：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刘梅红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日期：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2020.06.30</w:t>
                  </w:r>
                </w:p>
              </w:tc>
            </w:tr>
          </w:tbl>
          <w:p>
            <w:pPr>
              <w:spacing w:line="500" w:lineRule="exact"/>
              <w:ind w:firstLine="4337" w:firstLineChars="1200"/>
              <w:jc w:val="both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lang w:eastAsia="zh-CN"/>
              </w:rPr>
              <w:t>安全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管理方案</w:t>
            </w:r>
          </w:p>
          <w:p>
            <w:pPr>
              <w:spacing w:line="500" w:lineRule="exact"/>
              <w:rPr>
                <w:rFonts w:hint="eastAsia" w:ascii="宋体" w:hAnsi="宋体" w:eastAsia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编号：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TZ</w:t>
            </w:r>
            <w:r>
              <w:rPr>
                <w:rFonts w:hint="eastAsia" w:ascii="宋体" w:hAnsi="宋体"/>
                <w:szCs w:val="21"/>
              </w:rPr>
              <w:t>/JL-ZA-00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6"/>
              <w:gridCol w:w="675"/>
              <w:gridCol w:w="741"/>
              <w:gridCol w:w="1414"/>
              <w:gridCol w:w="1414"/>
              <w:gridCol w:w="1413"/>
              <w:gridCol w:w="955"/>
              <w:gridCol w:w="1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60" w:hRule="atLeast"/>
                <w:jc w:val="center"/>
              </w:trPr>
              <w:tc>
                <w:tcPr>
                  <w:tcW w:w="2091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重大危险源</w:t>
                  </w:r>
                </w:p>
              </w:tc>
              <w:tc>
                <w:tcPr>
                  <w:tcW w:w="4982" w:type="dxa"/>
                  <w:gridSpan w:val="4"/>
                  <w:noWrap w:val="0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24"/>
                      <w:lang w:val="en-US" w:eastAsia="zh-CN"/>
                    </w:rPr>
                    <w:t>交通安全</w:t>
                  </w:r>
                </w:p>
              </w:tc>
              <w:tc>
                <w:tcPr>
                  <w:tcW w:w="9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编号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0" w:hRule="atLeast"/>
                <w:jc w:val="center"/>
              </w:trPr>
              <w:tc>
                <w:tcPr>
                  <w:tcW w:w="2091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现状</w:t>
                  </w:r>
                </w:p>
              </w:tc>
              <w:tc>
                <w:tcPr>
                  <w:tcW w:w="7017" w:type="dxa"/>
                  <w:gridSpan w:val="6"/>
                  <w:noWrap w:val="0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无具体防护措施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0" w:hRule="atLeast"/>
                <w:jc w:val="center"/>
              </w:trPr>
              <w:tc>
                <w:tcPr>
                  <w:tcW w:w="2091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目标</w:t>
                  </w:r>
                </w:p>
              </w:tc>
              <w:tc>
                <w:tcPr>
                  <w:tcW w:w="7017" w:type="dxa"/>
                  <w:gridSpan w:val="6"/>
                  <w:noWrap w:val="0"/>
                  <w:vAlign w:val="top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hint="eastAsia" w:cs="宋体"/>
                      <w:color w:val="auto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杜绝重伤及以上人身伤亡事故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0" w:hRule="atLeast"/>
                <w:jc w:val="center"/>
              </w:trPr>
              <w:tc>
                <w:tcPr>
                  <w:tcW w:w="2091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指标</w:t>
                  </w:r>
                </w:p>
              </w:tc>
              <w:tc>
                <w:tcPr>
                  <w:tcW w:w="7017" w:type="dxa"/>
                  <w:gridSpan w:val="6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杜绝重伤及以上人身伤亡事故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2091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管理方案名称</w:t>
                  </w:r>
                </w:p>
              </w:tc>
              <w:tc>
                <w:tcPr>
                  <w:tcW w:w="7017" w:type="dxa"/>
                  <w:gridSpan w:val="6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加强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交通安全培训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spacing w:line="380" w:lineRule="exact"/>
                    <w:rPr>
                      <w:rFonts w:hint="eastAsia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教育员工，不得无证驾驶车辆、禁止酒后驾车、遵守交通规则。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  <w:jc w:val="center"/>
              </w:trPr>
              <w:tc>
                <w:tcPr>
                  <w:tcW w:w="1416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启动时间</w:t>
                  </w:r>
                </w:p>
              </w:tc>
              <w:tc>
                <w:tcPr>
                  <w:tcW w:w="1416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完成时间</w:t>
                  </w:r>
                </w:p>
              </w:tc>
              <w:tc>
                <w:tcPr>
                  <w:tcW w:w="1414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责任部门</w:t>
                  </w:r>
                </w:p>
              </w:tc>
              <w:tc>
                <w:tcPr>
                  <w:tcW w:w="1414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相关部门</w:t>
                  </w:r>
                </w:p>
              </w:tc>
              <w:tc>
                <w:tcPr>
                  <w:tcW w:w="1413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资金预算</w:t>
                  </w:r>
                </w:p>
              </w:tc>
              <w:tc>
                <w:tcPr>
                  <w:tcW w:w="2035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检查人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  <w:jc w:val="center"/>
              </w:trPr>
              <w:tc>
                <w:tcPr>
                  <w:tcW w:w="1416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2019.11.01</w:t>
                  </w:r>
                </w:p>
              </w:tc>
              <w:tc>
                <w:tcPr>
                  <w:tcW w:w="1416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2020.10.31</w:t>
                  </w:r>
                </w:p>
              </w:tc>
              <w:tc>
                <w:tcPr>
                  <w:tcW w:w="141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商务部</w:t>
                  </w:r>
                </w:p>
              </w:tc>
              <w:tc>
                <w:tcPr>
                  <w:tcW w:w="141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其它部门</w:t>
                  </w:r>
                </w:p>
              </w:tc>
              <w:tc>
                <w:tcPr>
                  <w:tcW w:w="1413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1000元</w:t>
                  </w:r>
                </w:p>
              </w:tc>
              <w:tc>
                <w:tcPr>
                  <w:tcW w:w="2035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李建花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审核意见：</w:t>
                  </w:r>
                </w:p>
                <w:p>
                  <w:pPr>
                    <w:spacing w:line="380" w:lineRule="exact"/>
                    <w:ind w:firstLine="480" w:firstLineChars="200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对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员工进行交通安全培训，遵守交通法规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br w:type="textWrapping"/>
                  </w:r>
                </w:p>
                <w:p>
                  <w:pPr>
                    <w:adjustRightInd w:val="0"/>
                    <w:snapToGrid w:val="0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                          审核人：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李建花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日期：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2019.11.01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4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批准意见：</w:t>
                  </w:r>
                </w:p>
                <w:p>
                  <w:pPr>
                    <w:adjustRightInd w:val="0"/>
                    <w:snapToGrid w:val="0"/>
                    <w:ind w:firstLine="1560" w:firstLineChars="65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同意所采取的管理方案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                  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审核人：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林建敏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日期：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2019.11.01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0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完成情况：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正在实施中，按计划进行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                           审核人：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刘梅红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日期：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2020.06.30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  <w:t>环境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管理方案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Cs/>
                <w:sz w:val="24"/>
              </w:rPr>
              <w:t>编号：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TZ</w:t>
            </w:r>
            <w:r>
              <w:rPr>
                <w:rFonts w:hint="eastAsia" w:ascii="宋体" w:hAnsi="宋体"/>
                <w:szCs w:val="21"/>
              </w:rPr>
              <w:t>/JL-ZA-005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6"/>
              <w:gridCol w:w="676"/>
              <w:gridCol w:w="740"/>
              <w:gridCol w:w="1413"/>
              <w:gridCol w:w="1413"/>
              <w:gridCol w:w="1415"/>
              <w:gridCol w:w="955"/>
              <w:gridCol w:w="1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2092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重大危险源</w:t>
                  </w:r>
                </w:p>
              </w:tc>
              <w:tc>
                <w:tcPr>
                  <w:tcW w:w="4981" w:type="dxa"/>
                  <w:gridSpan w:val="4"/>
                  <w:noWrap w:val="0"/>
                  <w:vAlign w:val="center"/>
                </w:tcPr>
                <w:p>
                  <w:pPr>
                    <w:spacing w:line="480" w:lineRule="exact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/>
                      <w:bCs/>
                      <w:color w:val="auto"/>
                    </w:rPr>
                    <w:t>火灾</w:t>
                  </w:r>
                  <w:r>
                    <w:rPr>
                      <w:rFonts w:hint="eastAsia"/>
                      <w:color w:val="auto"/>
                    </w:rPr>
                    <w:t>（办公使用电器、设备电线老化等）</w:t>
                  </w:r>
                </w:p>
              </w:tc>
              <w:tc>
                <w:tcPr>
                  <w:tcW w:w="9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编号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0" w:hRule="atLeast"/>
                <w:jc w:val="center"/>
              </w:trPr>
              <w:tc>
                <w:tcPr>
                  <w:tcW w:w="2092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现状</w:t>
                  </w:r>
                </w:p>
              </w:tc>
              <w:tc>
                <w:tcPr>
                  <w:tcW w:w="7016" w:type="dxa"/>
                  <w:gridSpan w:val="6"/>
                  <w:noWrap w:val="0"/>
                  <w:vAlign w:val="center"/>
                </w:tcPr>
                <w:p>
                  <w:pPr>
                    <w:spacing w:line="380" w:lineRule="exact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有灭火器等消防设备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0" w:hRule="atLeast"/>
                <w:jc w:val="center"/>
              </w:trPr>
              <w:tc>
                <w:tcPr>
                  <w:tcW w:w="2092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目标</w:t>
                  </w:r>
                </w:p>
              </w:tc>
              <w:tc>
                <w:tcPr>
                  <w:tcW w:w="7016" w:type="dxa"/>
                  <w:gridSpan w:val="6"/>
                  <w:noWrap w:val="0"/>
                  <w:vAlign w:val="top"/>
                </w:tcPr>
                <w:p>
                  <w:pPr>
                    <w:widowControl/>
                    <w:spacing w:line="280" w:lineRule="exact"/>
                    <w:rPr>
                      <w:rFonts w:hint="eastAsia" w:cs="宋体"/>
                      <w:color w:val="auto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杜绝火灾事故；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5" w:hRule="atLeast"/>
                <w:jc w:val="center"/>
              </w:trPr>
              <w:tc>
                <w:tcPr>
                  <w:tcW w:w="2092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指标</w:t>
                  </w:r>
                </w:p>
              </w:tc>
              <w:tc>
                <w:tcPr>
                  <w:tcW w:w="7016" w:type="dxa"/>
                  <w:gridSpan w:val="6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杜绝重伤及以上人身伤亡事故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2092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管理方案名称</w:t>
                  </w:r>
                </w:p>
              </w:tc>
              <w:tc>
                <w:tcPr>
                  <w:tcW w:w="7016" w:type="dxa"/>
                  <w:gridSpan w:val="6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加强用电设备的安全防护,制定应急救援预案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02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spacing w:line="3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1、办公区域设置安全警示牌。</w:t>
                  </w:r>
                </w:p>
                <w:p>
                  <w:pPr>
                    <w:spacing w:line="3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2、管理层组织培训。</w:t>
                  </w:r>
                </w:p>
                <w:p>
                  <w:pPr>
                    <w:spacing w:line="380" w:lineRule="exact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3、预备相关的消防器材；</w:t>
                  </w:r>
                </w:p>
                <w:p>
                  <w:pPr>
                    <w:spacing w:line="380" w:lineRule="exact"/>
                    <w:rPr>
                      <w:rFonts w:hint="eastAsia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4、安全用电，禁止使用大功率电器。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  <w:jc w:val="center"/>
              </w:trPr>
              <w:tc>
                <w:tcPr>
                  <w:tcW w:w="1416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启动时间</w:t>
                  </w:r>
                </w:p>
              </w:tc>
              <w:tc>
                <w:tcPr>
                  <w:tcW w:w="1416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完成时间</w:t>
                  </w:r>
                </w:p>
              </w:tc>
              <w:tc>
                <w:tcPr>
                  <w:tcW w:w="1413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责任部门</w:t>
                  </w:r>
                </w:p>
              </w:tc>
              <w:tc>
                <w:tcPr>
                  <w:tcW w:w="1413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相关部门</w:t>
                  </w:r>
                </w:p>
              </w:tc>
              <w:tc>
                <w:tcPr>
                  <w:tcW w:w="1415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资金预算</w:t>
                  </w:r>
                </w:p>
              </w:tc>
              <w:tc>
                <w:tcPr>
                  <w:tcW w:w="2035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检查人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  <w:jc w:val="center"/>
              </w:trPr>
              <w:tc>
                <w:tcPr>
                  <w:tcW w:w="1416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2019.11.01</w:t>
                  </w:r>
                </w:p>
              </w:tc>
              <w:tc>
                <w:tcPr>
                  <w:tcW w:w="1416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2020.10.31</w:t>
                  </w:r>
                </w:p>
              </w:tc>
              <w:tc>
                <w:tcPr>
                  <w:tcW w:w="1413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商务部</w:t>
                  </w:r>
                </w:p>
              </w:tc>
              <w:tc>
                <w:tcPr>
                  <w:tcW w:w="1413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其它部门</w:t>
                  </w:r>
                </w:p>
              </w:tc>
              <w:tc>
                <w:tcPr>
                  <w:tcW w:w="141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1000元</w:t>
                  </w:r>
                </w:p>
              </w:tc>
              <w:tc>
                <w:tcPr>
                  <w:tcW w:w="2035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李建花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审核意见：</w:t>
                  </w:r>
                </w:p>
                <w:p>
                  <w:pPr>
                    <w:spacing w:line="380" w:lineRule="exact"/>
                    <w:ind w:firstLine="480" w:firstLineChars="20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对老设备进行检查，是否存在潜在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火灾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危险，要把解决的方案落实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                          审核人：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李建花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日期：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2019.11.01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4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批准意见：</w:t>
                  </w:r>
                </w:p>
                <w:p>
                  <w:pPr>
                    <w:adjustRightInd w:val="0"/>
                    <w:snapToGrid w:val="0"/>
                    <w:ind w:firstLine="1560" w:firstLineChars="65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同意所采取的管理方案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                  审核人：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林建敏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日期：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2019.11.01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0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完成情况：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正在实施中，按计划进行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                           审核人：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eastAsia="zh-CN"/>
                    </w:rPr>
                    <w:t>刘梅红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日期：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2020.06.30</w:t>
                  </w:r>
                </w:p>
              </w:tc>
            </w:tr>
          </w:tbl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  <w:t>环境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管理方案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Cs/>
                <w:sz w:val="24"/>
              </w:rPr>
              <w:t>编号：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TZ</w:t>
            </w:r>
            <w:r>
              <w:rPr>
                <w:rFonts w:hint="eastAsia" w:ascii="宋体" w:hAnsi="宋体"/>
                <w:szCs w:val="21"/>
              </w:rPr>
              <w:t>/JL-ZA-005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6"/>
              <w:gridCol w:w="676"/>
              <w:gridCol w:w="740"/>
              <w:gridCol w:w="1413"/>
              <w:gridCol w:w="1413"/>
              <w:gridCol w:w="1415"/>
              <w:gridCol w:w="955"/>
              <w:gridCol w:w="1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2092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重大危险源</w:t>
                  </w:r>
                </w:p>
              </w:tc>
              <w:tc>
                <w:tcPr>
                  <w:tcW w:w="4981" w:type="dxa"/>
                  <w:gridSpan w:val="4"/>
                  <w:noWrap w:val="0"/>
                  <w:vAlign w:val="center"/>
                </w:tcPr>
                <w:p>
                  <w:pPr>
                    <w:spacing w:line="480" w:lineRule="exact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固体弃物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9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编号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0" w:hRule="atLeast"/>
                <w:jc w:val="center"/>
              </w:trPr>
              <w:tc>
                <w:tcPr>
                  <w:tcW w:w="2092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现状</w:t>
                  </w:r>
                </w:p>
              </w:tc>
              <w:tc>
                <w:tcPr>
                  <w:tcW w:w="7016" w:type="dxa"/>
                  <w:gridSpan w:val="6"/>
                  <w:noWrap w:val="0"/>
                  <w:vAlign w:val="center"/>
                </w:tcPr>
                <w:p>
                  <w:pPr>
                    <w:spacing w:line="380" w:lineRule="exact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固体弃物</w:t>
                  </w:r>
                  <w:r>
                    <w:rPr>
                      <w:rFonts w:hint="eastAsia" w:ascii="宋体" w:hAnsi="宋体"/>
                      <w:sz w:val="24"/>
                    </w:rPr>
                    <w:t>混乱，无分类存放，存放固废空间不够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40" w:hRule="atLeast"/>
                <w:jc w:val="center"/>
              </w:trPr>
              <w:tc>
                <w:tcPr>
                  <w:tcW w:w="2092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目标</w:t>
                  </w:r>
                </w:p>
              </w:tc>
              <w:tc>
                <w:tcPr>
                  <w:tcW w:w="7016" w:type="dxa"/>
                  <w:gridSpan w:val="6"/>
                  <w:noWrap w:val="0"/>
                  <w:vAlign w:val="top"/>
                </w:tcPr>
                <w:p>
                  <w:pPr>
                    <w:widowControl/>
                    <w:spacing w:line="280" w:lineRule="exact"/>
                    <w:rPr>
                      <w:rFonts w:hint="eastAsia" w:cs="宋体"/>
                      <w:color w:val="auto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废弃物：办公区设分类垃圾箱,分类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092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指标</w:t>
                  </w:r>
                </w:p>
              </w:tc>
              <w:tc>
                <w:tcPr>
                  <w:tcW w:w="7016" w:type="dxa"/>
                  <w:gridSpan w:val="6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处置率100％</w:t>
                  </w:r>
                  <w:r>
                    <w:rPr>
                      <w:rFonts w:hint="eastAsia" w:ascii="宋体" w:hAnsi="宋体"/>
                      <w:color w:val="000000"/>
                      <w:spacing w:val="-20"/>
                      <w:szCs w:val="21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2092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管理方案名称</w:t>
                  </w:r>
                </w:p>
              </w:tc>
              <w:tc>
                <w:tcPr>
                  <w:tcW w:w="7016" w:type="dxa"/>
                  <w:gridSpan w:val="6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固体弃物</w:t>
                  </w:r>
                  <w:r>
                    <w:rPr>
                      <w:rFonts w:hint="eastAsia" w:ascii="宋体" w:hAnsi="宋体"/>
                      <w:sz w:val="24"/>
                    </w:rPr>
                    <w:t>治理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2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spacing w:line="380" w:lineRule="exact"/>
                    <w:ind w:left="357" w:hanging="357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制定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固体弃物</w:t>
                  </w:r>
                  <w:r>
                    <w:rPr>
                      <w:rFonts w:hint="eastAsia" w:ascii="宋体" w:hAnsi="宋体"/>
                      <w:sz w:val="24"/>
                    </w:rPr>
                    <w:t>处理措施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380" w:lineRule="exact"/>
                    <w:ind w:left="357" w:hanging="357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选择合理存放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固体弃物</w:t>
                  </w:r>
                  <w:r>
                    <w:rPr>
                      <w:rFonts w:hint="eastAsia" w:ascii="宋体" w:hAnsi="宋体"/>
                      <w:sz w:val="24"/>
                    </w:rPr>
                    <w:t>位置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380" w:lineRule="exact"/>
                    <w:ind w:left="357" w:hanging="357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联系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固体弃物</w:t>
                  </w:r>
                  <w:r>
                    <w:rPr>
                      <w:rFonts w:hint="eastAsia" w:ascii="宋体" w:hAnsi="宋体"/>
                      <w:sz w:val="24"/>
                    </w:rPr>
                    <w:t>回收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公司</w:t>
                  </w:r>
                  <w:r>
                    <w:rPr>
                      <w:rFonts w:hint="eastAsia" w:ascii="宋体" w:hAnsi="宋体"/>
                      <w:sz w:val="24"/>
                    </w:rPr>
                    <w:t>及时回收</w:t>
                  </w:r>
                </w:p>
                <w:p>
                  <w:pPr>
                    <w:spacing w:line="380" w:lineRule="exact"/>
                    <w:rPr>
                      <w:rFonts w:hint="eastAsia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  <w:jc w:val="center"/>
              </w:trPr>
              <w:tc>
                <w:tcPr>
                  <w:tcW w:w="1416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启动时间</w:t>
                  </w:r>
                </w:p>
              </w:tc>
              <w:tc>
                <w:tcPr>
                  <w:tcW w:w="1416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完成时间</w:t>
                  </w:r>
                </w:p>
              </w:tc>
              <w:tc>
                <w:tcPr>
                  <w:tcW w:w="1413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责任部门</w:t>
                  </w:r>
                </w:p>
              </w:tc>
              <w:tc>
                <w:tcPr>
                  <w:tcW w:w="1413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相关部门</w:t>
                  </w:r>
                </w:p>
              </w:tc>
              <w:tc>
                <w:tcPr>
                  <w:tcW w:w="1415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资金预算</w:t>
                  </w:r>
                </w:p>
              </w:tc>
              <w:tc>
                <w:tcPr>
                  <w:tcW w:w="2035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检查人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  <w:jc w:val="center"/>
              </w:trPr>
              <w:tc>
                <w:tcPr>
                  <w:tcW w:w="1416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2019.11.01</w:t>
                  </w:r>
                </w:p>
              </w:tc>
              <w:tc>
                <w:tcPr>
                  <w:tcW w:w="1416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2020.10.31</w:t>
                  </w:r>
                </w:p>
              </w:tc>
              <w:tc>
                <w:tcPr>
                  <w:tcW w:w="1413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商务部</w:t>
                  </w:r>
                </w:p>
              </w:tc>
              <w:tc>
                <w:tcPr>
                  <w:tcW w:w="1413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其它部门</w:t>
                  </w:r>
                </w:p>
              </w:tc>
              <w:tc>
                <w:tcPr>
                  <w:tcW w:w="141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000元</w:t>
                  </w:r>
                </w:p>
              </w:tc>
              <w:tc>
                <w:tcPr>
                  <w:tcW w:w="2035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李建花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4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审核意见：</w:t>
                  </w:r>
                </w:p>
                <w:p>
                  <w:pPr>
                    <w:spacing w:line="380" w:lineRule="exact"/>
                    <w:ind w:firstLine="480" w:firstLineChars="200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对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固废进行分类治理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                          审核人：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李建花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日期：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2019.11.01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4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批准意见：</w:t>
                  </w:r>
                </w:p>
                <w:p>
                  <w:pPr>
                    <w:adjustRightInd w:val="0"/>
                    <w:snapToGrid w:val="0"/>
                    <w:ind w:firstLine="1560" w:firstLineChars="65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同意所采取的管理方案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                  审核人：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林建敏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日期：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2019.11.01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0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完成情况：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正在实施中，按计划进行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                           审核人：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eastAsia="zh-CN"/>
                    </w:rPr>
                    <w:t>刘梅红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日期：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2020.06.30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EO7.2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</w:t>
            </w:r>
            <w:r>
              <w:rPr>
                <w:rFonts w:ascii="楷体" w:hAnsi="楷体" w:eastAsia="楷体" w:cs="Arial"/>
                <w:sz w:val="24"/>
                <w:szCs w:val="24"/>
              </w:rPr>
              <w:t>7.3</w:t>
            </w:r>
          </w:p>
        </w:tc>
        <w:tc>
          <w:tcPr>
            <w:tcW w:w="10829" w:type="dxa"/>
          </w:tcPr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企业配置了适宜的人员：如管理人员、技术人员、销售人员等；人员配置基本满足日常管理体系运行要求。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部对各岗位人员进行能力考核，根据结果采取措施，通常是采取培训方式。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查到“</w:t>
            </w:r>
            <w:r>
              <w:rPr>
                <w:rFonts w:ascii="楷体" w:hAnsi="楷体" w:eastAsia="楷体"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-2020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度人员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培训计划”，编制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刘梅红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，批准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林建敏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，日期</w:t>
            </w:r>
            <w:r>
              <w:rPr>
                <w:rFonts w:ascii="楷体" w:hAnsi="楷体" w:eastAsia="楷体"/>
                <w:sz w:val="24"/>
                <w:szCs w:val="24"/>
              </w:rPr>
              <w:t>201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9.11.1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日。培训内容涉及：标准、体系文件、内审员、岗位技能、作业指导书、相关法规、安全生产、产品知识培训等。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查到：</w:t>
            </w: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、《培训记录及培训效果评价表》，</w:t>
            </w:r>
            <w:r>
              <w:rPr>
                <w:rFonts w:ascii="楷体" w:hAnsi="楷体" w:eastAsia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管理手册，程序文件及各种规程,管理制度的学习及对ISO14001:2015/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ISO45001:2018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标准的学习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培训，记录了培训内容摘要，通过现场提问答辩对培训效果予以考核评价，考核合格率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20.3.15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1）风险和机遇的识别和控制方法；2）企业有哪些风险和机遇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培训，培训方式授课，有培训内容摘要，经现场讨论考核合格率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tabs>
                <w:tab w:val="left" w:pos="1365"/>
              </w:tabs>
              <w:spacing w:line="40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19.12.15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相关环境、安全法律法规的学习培训、内审员培训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，培训方式授课，有培训内容摘要，经现场讨论考核合格率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20.4.15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环境、安全支持性文件、管理制度培训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，培训方式授课，有培训内容摘要，经现场讨论考核合格率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tabs>
                <w:tab w:val="left" w:pos="1365"/>
              </w:tabs>
              <w:spacing w:line="400" w:lineRule="exac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参加培训人员：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林建敏、刘梅红、李建花、叶华捷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等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形成文件的信息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EO7.5</w:t>
            </w:r>
          </w:p>
        </w:tc>
        <w:tc>
          <w:tcPr>
            <w:tcW w:w="10829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文件控制程序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组织策划的体系文件主要包括：《管理手册》，版本：</w:t>
            </w:r>
            <w:r>
              <w:rPr>
                <w:rFonts w:ascii="楷体" w:hAnsi="楷体" w:eastAsia="楷体" w:cs="宋体"/>
                <w:sz w:val="24"/>
                <w:szCs w:val="24"/>
              </w:rPr>
              <w:t>A/0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；《环境、职业健康安全管理体系程序文件》版本：</w:t>
            </w:r>
            <w:r>
              <w:rPr>
                <w:rFonts w:ascii="楷体" w:hAnsi="楷体" w:eastAsia="楷体" w:cs="宋体"/>
                <w:sz w:val="24"/>
                <w:szCs w:val="24"/>
              </w:rPr>
              <w:t>A/0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，以及相关运行记录等。以上文件编制人：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，审核人：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欧阳炜煌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，批准人：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何清鑫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，发布实施日期</w:t>
            </w:r>
            <w:r>
              <w:rPr>
                <w:rFonts w:ascii="楷体" w:hAnsi="楷体" w:eastAsia="楷体" w:cs="宋体"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公司环境、职业健康安全方针随手册一同发布，并编制目标、指标与管理方案一览表，方针目标发布经过总经理批准、评审，适宜。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公司体系文件运行良好，能够满足经营需要。公司文件经过验证手册和程序文件基本符合</w:t>
            </w:r>
            <w:r>
              <w:rPr>
                <w:rFonts w:ascii="楷体" w:hAnsi="楷体" w:eastAsia="楷体" w:cs="宋体"/>
                <w:sz w:val="24"/>
                <w:szCs w:val="24"/>
              </w:rPr>
              <w:t>ISO14001:2015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</w:t>
            </w:r>
            <w:r>
              <w:rPr>
                <w:rFonts w:ascii="楷体" w:hAnsi="楷体" w:eastAsia="楷体" w:cs="宋体"/>
                <w:sz w:val="24"/>
                <w:szCs w:val="24"/>
              </w:rPr>
              <w:t>ISO45001:2018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标准要求。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查见《外来、受控清单》，登录有手册、程序、管理规定、生产现场管理制度、组装作业指导书等受控文件，包含了体系要求的成文信息，文件规定基本符合组织实际，满足标准要求。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抽查：《应急准备和响应程序》、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《合规性评价程序》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、《纠正措施和预防措施控制程序》等体系文件，均有编制、审批人员签名，符合要求。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查文件发放情况：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提供了《文件发放</w:t>
            </w:r>
            <w:r>
              <w:rPr>
                <w:rFonts w:ascii="楷体" w:hAnsi="楷体" w:eastAsia="楷体" w:cs="宋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回收记录》，所有文件均由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部发放，录有管理手册、程序及标准、法律法规等外来文件。显示文件发放均有文件名称、编号、分发号、版本，发放</w:t>
            </w:r>
            <w:r>
              <w:rPr>
                <w:rFonts w:ascii="楷体" w:hAnsi="楷体" w:eastAsia="楷体" w:cs="宋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回收日期等。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查外来文件管理：</w:t>
            </w:r>
          </w:p>
          <w:p>
            <w:pPr>
              <w:pStyle w:val="17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部负责通过到主管部门、网上收集、标准发布部门进行购买，并对外来文件的识别、跟踪、控制。查到：《法律法规清单》，有：《中华人民共和国环境保护法》、《中华人民共和国安全生产法》、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产品标准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等法律法规和执行标准，外来文件管理符合要求。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查作废文件控制：自新版体系文件运行以来文件未修改修订。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现场查看组织办公室文件管理情况，通过纸张、电子版形式文件化，文件名称、编号、内容等字迹清晰，标识易于识别、检索、可追溯，纸质文件存放在文件柜中，防水防潮，储存环境适宜。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查到了“记录清单”，记录设置符合公司实施运行要求，基本包含了体系要求的相关记录；《记录清单》，内容清晰，规定了记录的名称、编号、保存期限等信息。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记录以名称、编号进行唯一性标识。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现场查阅了记录：《采购计划》、《应急预案演练记录》、《内审报告》、《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安全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内务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检查记录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》等体系运行记录，记录比较完整，内容规范全面，字迹清楚，有填表人、检查人等信息，易于检索，符合要求。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　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　　经了解，目前作废文件已销毁，由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商务部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统一处理。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环境因素</w:t>
            </w:r>
            <w:r>
              <w:rPr>
                <w:rFonts w:ascii="楷体" w:hAnsi="楷体" w:eastAsia="楷体" w:cs="Arial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Cs/>
                <w:sz w:val="24"/>
                <w:szCs w:val="24"/>
              </w:rPr>
              <w:t>E/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Arial"/>
                <w:sz w:val="24"/>
                <w:szCs w:val="24"/>
              </w:rPr>
              <w:t>6.1.2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829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环境因素和危险源识别评价与控制程序，对环境因素、危险源的识别、评价结果、控制手段等做出了规定。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商务部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作为环境和职业健康安全管理体系的推进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部门，主要统筹负责识别评价相关的环境因素及危险源。根据各部门识别及各办公、采购、销售过程环节识别，由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部汇总。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环境因素登记及评价表”，识别考虑了正常、异常、紧急，过去、现在、未来三种时态，能考虑到产品生命周期观点。涉及办公室的环境因素有办公活动中生活垃圾排放、纸张等办公废品排放、废水排放、空调排放热气、汽车尾气排放、火灾事故发生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采取多因子评价法进行了评价，查到“重要环境因素清单”，评价出固体废弃物排放、火灾事故的发生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项重要环境因素。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商务部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的重要环境因素为：日常办公过程中固体废弃物排放、火灾事故的发生。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主要控制措施：生活垃圾分类存放、办公危废交耗材供应公司，垃圾由环卫部门拉走，加强日常培训，日常检查，配备消防器材等措施。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查“危险源风险评价表”，识别了办公、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过程中的危险源。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涉及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部的危险源有办公活动过程中地面湿滑滑倒、火灾、开水烫伤、触电、违章驾驶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意外伤害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对识别出的危险源采取</w:t>
            </w:r>
            <w:r>
              <w:rPr>
                <w:rFonts w:ascii="楷体" w:hAnsi="楷体" w:eastAsia="楷体" w:cs="楷体"/>
                <w:sz w:val="24"/>
                <w:szCs w:val="24"/>
              </w:rPr>
              <w:t>D=LEC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进行评价，查到“重大危险源清单”，评价出重大危险源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个，包括：火灾、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意外伤害、中暑、疫情伤害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部的重大危险源：火灾事故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意外伤害、中暑、疫情伤害、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具体控制措施见</w:t>
            </w:r>
            <w:r>
              <w:rPr>
                <w:rFonts w:ascii="楷体" w:hAnsi="楷体" w:eastAsia="楷体" w:cs="楷体"/>
                <w:sz w:val="24"/>
                <w:szCs w:val="24"/>
              </w:rPr>
              <w:t>ES8.1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审核记录。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合规义务、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法律法规和其他要求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EO</w:t>
            </w:r>
            <w:r>
              <w:rPr>
                <w:rFonts w:ascii="楷体" w:hAnsi="楷体" w:eastAsia="楷体" w:cs="Arial"/>
                <w:sz w:val="24"/>
                <w:szCs w:val="24"/>
              </w:rPr>
              <w:t>6.1.3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829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编制了《法律法规和其他要求控制程序》，对法律法规的识别更新和应用进行规定，办公室为主控部门。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适用的法律法规及其他要求一览表》，识别了企业相关环境和职业健康安全法律法规、标准和其他要求。如《中华人民共和国环境影响评价法》、《中华人民共和国安全生产法》、《中华人民共和国环境噪声污染防治法》、《中华人民共和国职业病防治法》、《中华人民共和国消防法》、《中华人民共和国大气污染防治法》、《国家危险废物名录》、《城市生活垃圾管理办法》等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已识别法律法规及其它要求的适用条款，并与环境因素、危险源进行了对应。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公司法律、法规及其它要求都有现行文本，大部分为电子版本。各部门如有需要到办公室查阅。公司通过培训、会议等方式向有关员工传达法律、法规及其它要求的相关要求。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EO6.1.4</w:t>
            </w:r>
          </w:p>
        </w:tc>
        <w:tc>
          <w:tcPr>
            <w:tcW w:w="10829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E/S:9.1.2</w:t>
            </w:r>
            <w:r>
              <w:rPr>
                <w:rFonts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29" w:type="dxa"/>
            <w:vAlign w:val="center"/>
          </w:tcPr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编制了《合规性评价程序》，其中规定了对本公司法规及其他要求的合规性评价的要求。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现场提供了《法律、法规和其他要求符合性评价记录》、《合规性评价报告》</w:t>
            </w:r>
            <w:r>
              <w:rPr>
                <w:rFonts w:ascii="楷体" w:hAnsi="楷体" w:eastAsia="楷体" w:cs="宋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对公司适用的法律法规及其他要求的遵守情况进行了评价，评价结论：评价结果说明我公司对适用的法律、法规均已遵守。自公司建立管理体系以来，未发生任何破坏环境的现象；未发生任何顾客、周边居民因环境、安全事故而投诉的现象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评价人：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林建敏、刘梅红、李建花、叶华捷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评价日期：</w:t>
            </w:r>
            <w:r>
              <w:rPr>
                <w:rFonts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4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E/S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ascii="楷体" w:hAnsi="楷体" w:eastAsia="楷体" w:cs="楷体"/>
                <w:sz w:val="24"/>
                <w:szCs w:val="24"/>
              </w:rPr>
              <w:t>9.1.1</w:t>
            </w:r>
            <w:r>
              <w:rPr>
                <w:rFonts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29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管理体系目标考核按季度进行，抽查到</w:t>
            </w:r>
            <w:r>
              <w:rPr>
                <w:rFonts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1-6月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目标考核记录，经考核公司和分解各部门管理目标均已完成。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2020.1.1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“环境、职业健康安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管理方案及实施情况一览表”，检查考核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正在实施按计划进行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，考核人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刘梅红、李建花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查到《环境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卫生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检查记录》，检查项目内容涉及：</w:t>
            </w:r>
          </w:p>
          <w:p>
            <w:pPr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办公区域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地面无烟头、纸屑等杂物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固废分类处理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卫生间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干净卫生，无杂物，无较大异味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抽查</w:t>
            </w:r>
            <w:r>
              <w:rPr>
                <w:rFonts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20年1-6月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运行检查记录，检查结果均正常，检查人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李建花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未有上级主管部门的监督检查。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Cs/>
                <w:sz w:val="24"/>
                <w:szCs w:val="24"/>
              </w:rPr>
              <w:t>E/S</w:t>
            </w:r>
            <w:r>
              <w:rPr>
                <w:rFonts w:ascii="楷体" w:hAnsi="楷体" w:eastAsia="楷体" w:cs="Arial"/>
                <w:sz w:val="24"/>
                <w:szCs w:val="24"/>
              </w:rPr>
              <w:t>8.1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829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公司制定并实施了运行控制程序、废弃物控制程序、消防控制程序、资源能源控制程序、应急准备和响应控制程序、固废垃圾处理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利用作业指导书、员工职业健康及劳动保护管理规定、应急预案等环境与职业健康安全控制程序和管理制度。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企业位</w:t>
            </w:r>
            <w:r>
              <w:rPr>
                <w:rFonts w:hint="eastAsia" w:ascii="楷体" w:hAnsi="楷体" w:eastAsia="楷体"/>
                <w:spacing w:val="20"/>
                <w:sz w:val="24"/>
                <w:lang w:val="de-DE"/>
              </w:rPr>
              <w:t>于</w:t>
            </w:r>
            <w:bookmarkStart w:id="0" w:name="生产地址"/>
            <w:r>
              <w:rPr>
                <w:rFonts w:hint="eastAsia" w:ascii="楷体" w:hAnsi="楷体" w:eastAsia="楷体" w:cs="楷体"/>
                <w:sz w:val="24"/>
                <w:szCs w:val="24"/>
              </w:rPr>
              <w:t>福建省福州市台江区五一南路20号西半座第六层</w:t>
            </w:r>
            <w:bookmarkEnd w:id="0"/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lang w:val="de-DE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公司四周是其他企业或居民，无重大敏感区，根据体系运行的需要设置了办公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部定期组织环保和安全知识培训，员工具备了基本的环保和职业健康安全防护意识，见</w:t>
            </w:r>
            <w:r>
              <w:rPr>
                <w:rFonts w:ascii="楷体" w:hAnsi="楷体" w:eastAsia="楷体" w:cs="楷体"/>
                <w:sz w:val="24"/>
                <w:szCs w:val="24"/>
              </w:rPr>
              <w:t>7.3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条款审核记录。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按公司要求人走关灯，办公室电脑要求人走后电源切断。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统一处理，各部门不得单独处理。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pict>
                <v:shape id="_x0000_i1026" o:spt="75" type="#_x0000_t75" style="height:188.9pt;width:507.5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为满足环境和职业健康安全体系的运行，公司投入了环保及安全资金，主要是购买消防设施、环保设施、劳保用品、社保等，运行至今支出约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2.45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万元。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和仓库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区域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未按要求配置灭火器，开具了不符合。</w:t>
            </w:r>
          </w:p>
          <w:p>
            <w:pPr>
              <w:ind w:firstLine="2730" w:firstLineChars="1300"/>
              <w:jc w:val="both"/>
              <w:rPr>
                <w:rFonts w:hint="eastAsia" w:ascii="华文新魏" w:eastAsia="华文新魏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部门运行控制基本符合要求。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Cs/>
                <w:sz w:val="24"/>
                <w:szCs w:val="24"/>
              </w:rPr>
              <w:t>E/S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Arial"/>
                <w:sz w:val="24"/>
                <w:szCs w:val="24"/>
              </w:rPr>
              <w:t>8.2</w:t>
            </w:r>
            <w:r>
              <w:rPr>
                <w:rFonts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</w:tc>
        <w:tc>
          <w:tcPr>
            <w:tcW w:w="10829" w:type="dxa"/>
          </w:tcPr>
          <w:p>
            <w:pPr>
              <w:ind w:firstLine="240" w:firstLineChars="1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负责人介绍，公司制定《应急准备和响应控制程序》、《应急救援预案》等，包括：火灾、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触电、高温中暑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应急预案</w:t>
            </w:r>
          </w:p>
          <w:p>
            <w:pPr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见：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年应急演练计划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《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触电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预案演练记录》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演练时间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日</w:t>
            </w:r>
          </w:p>
          <w:p>
            <w:pPr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演练地点：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办公室</w:t>
            </w:r>
          </w:p>
          <w:p>
            <w:pPr>
              <w:ind w:firstLine="480" w:firstLineChars="200"/>
              <w:rPr>
                <w:rFonts w:hint="default" w:ascii="楷体" w:hAnsi="楷体" w:eastAsia="楷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演练部门：全体部门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和员工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演练总指挥：总经理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参加人员各部门部长。过程记录详细。</w:t>
            </w:r>
          </w:p>
          <w:p>
            <w:pPr>
              <w:pStyle w:val="17"/>
              <w:ind w:firstLine="52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演练中不但讲解了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触电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pStyle w:val="17"/>
              <w:ind w:firstLine="260" w:firstLineChars="1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针对近期出现的新型冠状病毒引发的肺炎疫情，公司制定了《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疫情预案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》，通过视频看到公司已经恢复销售，员工佩带口罩在岗位上操作，进出办公区域测量体温，严格按政府和预案的要求执行。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基本符合。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EO9.2</w:t>
            </w:r>
          </w:p>
        </w:tc>
        <w:tc>
          <w:tcPr>
            <w:tcW w:w="10829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由组长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刘梅红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审核组构成：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组长：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刘梅红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(A)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李建花 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(B)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1.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日，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审核按计划进行，抽查检查表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销售部，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审核记录与计划相一致，内审员经内部培训合格，能力还需加强；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个一般不符合项，针对不合格，责任部门已分析了原因并采取了纠正措施，按要求进行了整改，最后内审员进行了验证，纠正措施实施有效。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内部审核结论：提供了《内部审核报告》，对现场审核进行了综述，对质量环境安全管理体系进行了符合性的综合评价，最后结论为：公司的质量环境安全管理体系基本符合标准要求，运行有效。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pict>
                <v:shape id="_x0000_i1029" o:spt="75" alt="7d1146a393fab86c7f6ca2e3b07fde6" type="#_x0000_t75" style="height:332.6pt;width:249.4pt;" filled="f" o:preferrelative="t" stroked="f" coordsize="21600,21600">
                  <v:path/>
                  <v:fill on="f" focussize="0,0"/>
                  <v:stroke on="f"/>
                  <v:imagedata r:id="rId8" o:title="7d1146a393fab86c7f6ca2e3b07fde6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pict>
                <v:shape id="_x0000_i1030" o:spt="75" alt="5845f106b615da6825f0a7017fa4ebf" type="#_x0000_t75" style="height:332.75pt;width:249.55pt;" filled="f" o:preferrelative="t" stroked="f" coordsize="21600,21600">
                  <v:path/>
                  <v:fill on="f" focussize="0,0"/>
                  <v:stroke on="f"/>
                  <v:imagedata r:id="rId9" o:title="5845f106b615da6825f0a7017fa4ebf"/>
                  <o:lock v:ext="edit" aspectratio="t"/>
                  <w10:wrap type="none"/>
                  <w10:anchorlock/>
                </v:shape>
              </w:pict>
            </w:r>
            <w:bookmarkStart w:id="1" w:name="_GoBack"/>
            <w:bookmarkEnd w:id="1"/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EO10.2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0829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保持实施《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纠正措施和预防措施控制程序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》、《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事故调查处置控制程序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》，对纠正预防措施识别、评审、验证，事故事件报告、调查、处理等作了规定，其内容符合组织实际及标准要求。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对内审中提出不合格项进行了原因分析</w:t>
            </w:r>
            <w:r>
              <w:rPr>
                <w:rFonts w:ascii="楷体" w:hAnsi="楷体" w:eastAsia="楷体" w:cs="宋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ascii="楷体" w:hAnsi="楷体" w:eastAsia="楷体" w:cs="宋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不合格的发生，不符合得到了有效控制，人员环保、安全意识有了明显提高，没有发现潜在的不符合，没有发生重大质量事故和投诉处罚，没有发生环境、职业健康安全事件和投诉处罚。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/>
    <w:p>
      <w:pPr>
        <w:pStyle w:val="5"/>
      </w:pPr>
      <w:r>
        <w:rPr>
          <w:rFonts w:hint="eastAsia"/>
        </w:rPr>
        <w:t>说明：不符合标注</w:t>
      </w:r>
      <w: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49</w:t>
    </w:r>
    <w:r>
      <w:rPr>
        <w:b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4"/>
        <w:rFonts w:hint="eastAsia"/>
      </w:rPr>
      <w:t>北京国标联合认证有限公司</w:t>
    </w:r>
    <w:r>
      <w:rPr>
        <w:rStyle w:val="14"/>
      </w:rPr>
      <w:tab/>
    </w:r>
    <w:r>
      <w:rPr>
        <w:rStyle w:val="14"/>
      </w:rPr>
      <w:tab/>
    </w:r>
    <w:r>
      <w:rPr>
        <w:rStyle w:val="14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4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75CED"/>
    <w:multiLevelType w:val="multilevel"/>
    <w:tmpl w:val="68275CED"/>
    <w:lvl w:ilvl="0" w:tentative="0">
      <w:start w:val="1"/>
      <w:numFmt w:val="decimal"/>
      <w:lvlText w:val="%1、"/>
      <w:lvlJc w:val="left"/>
      <w:pPr>
        <w:tabs>
          <w:tab w:val="left" w:pos="465"/>
        </w:tabs>
        <w:ind w:left="465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5DE"/>
    <w:rsid w:val="000219B9"/>
    <w:rsid w:val="0003373A"/>
    <w:rsid w:val="00033C9F"/>
    <w:rsid w:val="000400E2"/>
    <w:rsid w:val="00044058"/>
    <w:rsid w:val="00046679"/>
    <w:rsid w:val="00062369"/>
    <w:rsid w:val="00063A3B"/>
    <w:rsid w:val="00067C6F"/>
    <w:rsid w:val="000748D2"/>
    <w:rsid w:val="000759E0"/>
    <w:rsid w:val="00081926"/>
    <w:rsid w:val="000A39EB"/>
    <w:rsid w:val="000A4F12"/>
    <w:rsid w:val="000B51BD"/>
    <w:rsid w:val="000D2823"/>
    <w:rsid w:val="000F0D61"/>
    <w:rsid w:val="000F0F7E"/>
    <w:rsid w:val="000F2F92"/>
    <w:rsid w:val="00131AC7"/>
    <w:rsid w:val="00133F48"/>
    <w:rsid w:val="00153815"/>
    <w:rsid w:val="00153BAF"/>
    <w:rsid w:val="00170B0D"/>
    <w:rsid w:val="00176E59"/>
    <w:rsid w:val="0017723E"/>
    <w:rsid w:val="00193594"/>
    <w:rsid w:val="0019698C"/>
    <w:rsid w:val="001A0D03"/>
    <w:rsid w:val="001B25DE"/>
    <w:rsid w:val="001C6C63"/>
    <w:rsid w:val="001D45A7"/>
    <w:rsid w:val="001D52D6"/>
    <w:rsid w:val="001E155C"/>
    <w:rsid w:val="001F1012"/>
    <w:rsid w:val="00202985"/>
    <w:rsid w:val="00204C69"/>
    <w:rsid w:val="0021644A"/>
    <w:rsid w:val="00225BAB"/>
    <w:rsid w:val="00243B9F"/>
    <w:rsid w:val="00250D0F"/>
    <w:rsid w:val="00251F7F"/>
    <w:rsid w:val="00273E21"/>
    <w:rsid w:val="002A4508"/>
    <w:rsid w:val="002B33F0"/>
    <w:rsid w:val="002D3565"/>
    <w:rsid w:val="00303300"/>
    <w:rsid w:val="00351198"/>
    <w:rsid w:val="00353935"/>
    <w:rsid w:val="00354550"/>
    <w:rsid w:val="00354BEE"/>
    <w:rsid w:val="00387673"/>
    <w:rsid w:val="00390345"/>
    <w:rsid w:val="003D4EE6"/>
    <w:rsid w:val="003E08A5"/>
    <w:rsid w:val="003F49F0"/>
    <w:rsid w:val="00400E92"/>
    <w:rsid w:val="00416CB1"/>
    <w:rsid w:val="004241EE"/>
    <w:rsid w:val="0043219E"/>
    <w:rsid w:val="00433001"/>
    <w:rsid w:val="00435C09"/>
    <w:rsid w:val="00440E39"/>
    <w:rsid w:val="004473D0"/>
    <w:rsid w:val="004526F0"/>
    <w:rsid w:val="00466E9E"/>
    <w:rsid w:val="004801A0"/>
    <w:rsid w:val="004815EB"/>
    <w:rsid w:val="004B6927"/>
    <w:rsid w:val="004C6812"/>
    <w:rsid w:val="004F443E"/>
    <w:rsid w:val="00512602"/>
    <w:rsid w:val="00530F23"/>
    <w:rsid w:val="00552571"/>
    <w:rsid w:val="005560EC"/>
    <w:rsid w:val="00560DB6"/>
    <w:rsid w:val="00561940"/>
    <w:rsid w:val="00567A42"/>
    <w:rsid w:val="005752A6"/>
    <w:rsid w:val="005A1ED2"/>
    <w:rsid w:val="005A4889"/>
    <w:rsid w:val="005C20AE"/>
    <w:rsid w:val="005E7E15"/>
    <w:rsid w:val="00600C20"/>
    <w:rsid w:val="00610CCF"/>
    <w:rsid w:val="00614C4D"/>
    <w:rsid w:val="00620D5E"/>
    <w:rsid w:val="006310F1"/>
    <w:rsid w:val="006510E0"/>
    <w:rsid w:val="006743FE"/>
    <w:rsid w:val="00697127"/>
    <w:rsid w:val="006F1DC2"/>
    <w:rsid w:val="00701B19"/>
    <w:rsid w:val="00703F6B"/>
    <w:rsid w:val="00712323"/>
    <w:rsid w:val="007438B3"/>
    <w:rsid w:val="0074390F"/>
    <w:rsid w:val="00760FB8"/>
    <w:rsid w:val="007620A1"/>
    <w:rsid w:val="007702BC"/>
    <w:rsid w:val="007757F3"/>
    <w:rsid w:val="00790B70"/>
    <w:rsid w:val="007B7F25"/>
    <w:rsid w:val="007C5E3B"/>
    <w:rsid w:val="007F0444"/>
    <w:rsid w:val="00801158"/>
    <w:rsid w:val="00802116"/>
    <w:rsid w:val="00812FB7"/>
    <w:rsid w:val="00823D21"/>
    <w:rsid w:val="00824A66"/>
    <w:rsid w:val="00827780"/>
    <w:rsid w:val="008467DB"/>
    <w:rsid w:val="00847CA6"/>
    <w:rsid w:val="00863941"/>
    <w:rsid w:val="0087523E"/>
    <w:rsid w:val="008846D0"/>
    <w:rsid w:val="008973EE"/>
    <w:rsid w:val="008A3324"/>
    <w:rsid w:val="008A5298"/>
    <w:rsid w:val="008C1B99"/>
    <w:rsid w:val="008C6391"/>
    <w:rsid w:val="008E6797"/>
    <w:rsid w:val="008F045B"/>
    <w:rsid w:val="00914C10"/>
    <w:rsid w:val="0091775C"/>
    <w:rsid w:val="00951529"/>
    <w:rsid w:val="00953B0B"/>
    <w:rsid w:val="00981F19"/>
    <w:rsid w:val="00984A26"/>
    <w:rsid w:val="00992B54"/>
    <w:rsid w:val="009A06D2"/>
    <w:rsid w:val="009B4611"/>
    <w:rsid w:val="009B6ACD"/>
    <w:rsid w:val="009F416F"/>
    <w:rsid w:val="009F6343"/>
    <w:rsid w:val="00A011D3"/>
    <w:rsid w:val="00A14097"/>
    <w:rsid w:val="00A25BB5"/>
    <w:rsid w:val="00A36D27"/>
    <w:rsid w:val="00A45D9E"/>
    <w:rsid w:val="00A55FDA"/>
    <w:rsid w:val="00A61C46"/>
    <w:rsid w:val="00A6299B"/>
    <w:rsid w:val="00A85752"/>
    <w:rsid w:val="00A91162"/>
    <w:rsid w:val="00AB3B8F"/>
    <w:rsid w:val="00AC43CE"/>
    <w:rsid w:val="00AC43D6"/>
    <w:rsid w:val="00AC685D"/>
    <w:rsid w:val="00AF4316"/>
    <w:rsid w:val="00B02E01"/>
    <w:rsid w:val="00B06544"/>
    <w:rsid w:val="00B13582"/>
    <w:rsid w:val="00B22E5A"/>
    <w:rsid w:val="00B41FC2"/>
    <w:rsid w:val="00B475ED"/>
    <w:rsid w:val="00B77922"/>
    <w:rsid w:val="00B8487A"/>
    <w:rsid w:val="00B933B7"/>
    <w:rsid w:val="00BB5AE7"/>
    <w:rsid w:val="00BC1671"/>
    <w:rsid w:val="00BC2159"/>
    <w:rsid w:val="00BE63F9"/>
    <w:rsid w:val="00BF047C"/>
    <w:rsid w:val="00BF55C1"/>
    <w:rsid w:val="00C0469F"/>
    <w:rsid w:val="00C0589B"/>
    <w:rsid w:val="00C51F68"/>
    <w:rsid w:val="00C53F8C"/>
    <w:rsid w:val="00C55007"/>
    <w:rsid w:val="00C66196"/>
    <w:rsid w:val="00C711BC"/>
    <w:rsid w:val="00C759BA"/>
    <w:rsid w:val="00C85C5F"/>
    <w:rsid w:val="00C9295A"/>
    <w:rsid w:val="00CB2F54"/>
    <w:rsid w:val="00CC03A8"/>
    <w:rsid w:val="00CC523E"/>
    <w:rsid w:val="00CC7965"/>
    <w:rsid w:val="00CF0432"/>
    <w:rsid w:val="00CF7501"/>
    <w:rsid w:val="00D018F8"/>
    <w:rsid w:val="00D05722"/>
    <w:rsid w:val="00D1502A"/>
    <w:rsid w:val="00D23666"/>
    <w:rsid w:val="00D30776"/>
    <w:rsid w:val="00D37631"/>
    <w:rsid w:val="00D57A07"/>
    <w:rsid w:val="00D61AC0"/>
    <w:rsid w:val="00D7291B"/>
    <w:rsid w:val="00D97C9F"/>
    <w:rsid w:val="00DA547C"/>
    <w:rsid w:val="00DD047E"/>
    <w:rsid w:val="00DD35E1"/>
    <w:rsid w:val="00DD5D57"/>
    <w:rsid w:val="00E02963"/>
    <w:rsid w:val="00E057F8"/>
    <w:rsid w:val="00E27414"/>
    <w:rsid w:val="00E34131"/>
    <w:rsid w:val="00E6224C"/>
    <w:rsid w:val="00E67F6B"/>
    <w:rsid w:val="00E7027E"/>
    <w:rsid w:val="00E83DA5"/>
    <w:rsid w:val="00E9127E"/>
    <w:rsid w:val="00E97B40"/>
    <w:rsid w:val="00EA6FEB"/>
    <w:rsid w:val="00EC08C4"/>
    <w:rsid w:val="00EC4201"/>
    <w:rsid w:val="00EE2282"/>
    <w:rsid w:val="00F00235"/>
    <w:rsid w:val="00F74248"/>
    <w:rsid w:val="00F81AA1"/>
    <w:rsid w:val="00F84329"/>
    <w:rsid w:val="00F9511B"/>
    <w:rsid w:val="00F97461"/>
    <w:rsid w:val="00FA70AD"/>
    <w:rsid w:val="00FC0249"/>
    <w:rsid w:val="00FF3A70"/>
    <w:rsid w:val="00FF5E73"/>
    <w:rsid w:val="00FF762E"/>
    <w:rsid w:val="01A4643E"/>
    <w:rsid w:val="02310203"/>
    <w:rsid w:val="061B3FA5"/>
    <w:rsid w:val="10513DE6"/>
    <w:rsid w:val="1499102B"/>
    <w:rsid w:val="1A567EE1"/>
    <w:rsid w:val="1B8A145E"/>
    <w:rsid w:val="23641043"/>
    <w:rsid w:val="2931136E"/>
    <w:rsid w:val="30755036"/>
    <w:rsid w:val="3A34661D"/>
    <w:rsid w:val="3EC30777"/>
    <w:rsid w:val="3F7842C8"/>
    <w:rsid w:val="449317F4"/>
    <w:rsid w:val="44FB735A"/>
    <w:rsid w:val="55C04EE5"/>
    <w:rsid w:val="55DB5DDE"/>
    <w:rsid w:val="58D80F76"/>
    <w:rsid w:val="6B64026B"/>
    <w:rsid w:val="75C93055"/>
    <w:rsid w:val="78375207"/>
    <w:rsid w:val="7CD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8"/>
    <w:qFormat/>
    <w:uiPriority w:val="99"/>
    <w:rPr>
      <w:rFonts w:ascii="宋体" w:hAnsi="Courier New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link w:val="16"/>
    <w:qFormat/>
    <w:uiPriority w:val="99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character" w:styleId="10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5">
    <w:name w:val="正文文本缩进 Char"/>
    <w:link w:val="2"/>
    <w:semiHidden/>
    <w:qFormat/>
    <w:locked/>
    <w:uiPriority w:val="99"/>
    <w:rPr>
      <w:rFonts w:eastAsia="宋体" w:cs="Times New Roman"/>
      <w:kern w:val="2"/>
      <w:sz w:val="21"/>
      <w:lang w:val="en-US" w:eastAsia="zh-CN" w:bidi="ar-SA"/>
    </w:rPr>
  </w:style>
  <w:style w:type="character" w:customStyle="1" w:styleId="16">
    <w:name w:val="正文首行缩进 2 Char"/>
    <w:link w:val="7"/>
    <w:qFormat/>
    <w:locked/>
    <w:uiPriority w:val="99"/>
    <w:rPr>
      <w:rFonts w:ascii="宋体" w:hAnsi="宋体" w:eastAsia="仿宋_GB2312" w:cs="Times New Roman"/>
      <w:color w:val="000000"/>
      <w:kern w:val="2"/>
      <w:sz w:val="28"/>
      <w:lang w:val="en-US" w:eastAsia="zh-CN" w:bidi="ar-SA"/>
    </w:rPr>
  </w:style>
  <w:style w:type="paragraph" w:customStyle="1" w:styleId="17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8">
    <w:name w:val="纯文本 Char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4207</Words>
  <Characters>23982</Characters>
  <Lines>199</Lines>
  <Paragraphs>56</Paragraphs>
  <TotalTime>0</TotalTime>
  <ScaleCrop>false</ScaleCrop>
  <LinksUpToDate>false</LinksUpToDate>
  <CharactersWithSpaces>28133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2020-07-30T09:56:18Z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