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江西正茂新材料股份有限公司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□第    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温红玲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温红玲、黄友珍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2025年05月18日上午至2025年05月18日下午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温红玲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160373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