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30670-2023-EnMS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江苏帅雅服饰有限公司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李丽英</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91321182722250044N</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■第2次监审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江苏帅雅服饰有限公司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扬中市油坊镇解放村</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江苏省扬中市油坊镇工业园区创业路8号</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EnMS:一般防护服、特种劳动防护用品（防静电服、阻燃服、织物类酸碱类化学品防护服、抗油易去污防护服）、羽绒服的生产所涉及的能源管理活动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江苏帅雅服饰有限公司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扬中市油坊镇解放村</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江苏省扬中市油坊镇工业园区创业路8号</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EnMS:一般防护服、特种劳动防护用品（防静电服、阻燃服、织物类酸碱类化学品防护服、抗油易去污防护服）、羽绒服的生产所涉及的能源管理活动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16830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