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30638-2023-EnMS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142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辽宁泰合实业股份有限公司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212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范玲玲</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2025-N1EnMS-2024421</w:t>
            </w:r>
          </w:p>
        </w:tc>
        <w:tc>
          <w:tcPr>
            <w:tcW w:w="3145" w:type="dxa"/>
            <w:vAlign w:val="center"/>
          </w:tcPr>
          <w:p w:rsidR="00142F5C" w:rsidP="00772D33">
            <w:pPr>
              <w:spacing w:line="360" w:lineRule="exact"/>
              <w:jc w:val="center"/>
              <w:rPr>
                <w:szCs w:val="21"/>
              </w:rPr>
            </w:pPr>
            <w:r>
              <w:t>2.10,2.7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2025年09月10日上午至2025年09月12日上午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EnMS:石油钻采设备（泥浆罐、储油罐、工业水罐、污水罐、司钻房、电控房、游钩房、钢木基础）及配件的生产， 井下工具及配件、石油配套产品（成套电器、仪器仪表、机电设备及配件、机械设备及配件、焊接设备及材料、通讯设备）的销售相关的能源管理活动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盘锦市经济开发区石油装备制造基地（中华路东侧）</w:t>
      </w:r>
    </w:p>
    <w:p w:rsidR="001F0A49">
      <w:pPr>
        <w:spacing w:line="360" w:lineRule="auto"/>
        <w:ind w:firstLine="420" w:firstLineChars="200"/>
      </w:pPr>
      <w:r>
        <w:rPr>
          <w:rFonts w:hint="eastAsia"/>
        </w:rPr>
        <w:t>办公地址：</w:t>
      </w:r>
      <w:r>
        <w:rPr>
          <w:rFonts w:hint="eastAsia"/>
        </w:rPr>
        <w:t>盘锦市经济开发区石油装备制造基地（中华路东侧）</w:t>
      </w:r>
    </w:p>
    <w:p w:rsidR="001F0A49">
      <w:pPr>
        <w:spacing w:line="360" w:lineRule="auto"/>
        <w:ind w:firstLine="420" w:firstLineChars="200"/>
      </w:pPr>
      <w:r>
        <w:rPr>
          <w:rFonts w:hint="eastAsia"/>
        </w:rPr>
        <w:t>经营地址：</w:t>
      </w:r>
      <w:bookmarkStart w:id="12" w:name="生产地址"/>
      <w:bookmarkEnd w:id="12"/>
      <w:r>
        <w:rPr>
          <w:rFonts w:hint="eastAsia"/>
        </w:rPr>
        <w:t>盘锦市经济开发区石油装备制造基地（中华路东侧）</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辽宁泰合实业股份有限公司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103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