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10347-2025-QEO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廊坊恒光电气设备有限公司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Q:17.06.01</w:t>
            </w:r>
          </w:p>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路喜芬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2025-N1QMS-1330871</w:t>
            </w:r>
          </w:p>
          <w:p w:rsidR="00A824E9">
            <w:pPr>
              <w:spacing w:line="360" w:lineRule="exact"/>
              <w:jc w:val="center"/>
              <w:rPr>
                <w:b/>
                <w:szCs w:val="21"/>
              </w:rPr>
            </w:pPr>
            <w:r>
              <w:rPr>
                <w:b/>
                <w:szCs w:val="21"/>
              </w:rPr>
              <w:t>2025-N1EMS-1330871</w:t>
            </w:r>
          </w:p>
          <w:p w:rsidR="00A824E9">
            <w:pPr>
              <w:spacing w:line="360" w:lineRule="exact"/>
              <w:jc w:val="center"/>
              <w:rPr>
                <w:b/>
                <w:szCs w:val="21"/>
              </w:rPr>
            </w:pPr>
            <w:r>
              <w:rPr>
                <w:b/>
                <w:szCs w:val="21"/>
              </w:rPr>
              <w:t>2025-N1OHSMS-1330871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2025年04月07日 下午至2025年04月09日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河北省廊坊市文安县新镇镇西代村村北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河北省廊坊市文安县新镇镇西代村村北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