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center"/>
        <w:rPr>
          <w:rFonts w:hint="eastAsia" w:ascii="宋体" w:hAnsi="宋体"/>
          <w:sz w:val="32"/>
        </w:rPr>
      </w:pPr>
      <w:r>
        <w:rPr>
          <w:rFonts w:hint="eastAsia" w:ascii="宋体" w:hAnsi="宋体"/>
          <w:sz w:val="32"/>
          <w:lang w:val="en-US" w:eastAsia="zh-CN"/>
        </w:rPr>
        <w:t xml:space="preserve"> </w:t>
      </w:r>
      <w:r>
        <w:rPr>
          <w:rFonts w:hint="eastAsia" w:ascii="宋体" w:hAnsi="宋体"/>
          <w:sz w:val="32"/>
        </w:rPr>
        <w:t>认 证 企 业：</w:t>
      </w:r>
      <w:bookmarkStart w:id="1" w:name="组织名称"/>
      <w:r>
        <w:rPr>
          <w:rFonts w:hint="eastAsia" w:ascii="宋体" w:hAnsi="宋体"/>
          <w:sz w:val="32"/>
          <w:u w:val="single"/>
        </w:rPr>
        <w:t>陕西大风印务科技有限公司</w:t>
      </w:r>
      <w:bookmarkEnd w:id="1"/>
    </w:p>
    <w:p>
      <w:pPr>
        <w:spacing w:line="360" w:lineRule="auto"/>
        <w:ind w:firstLine="1280" w:firstLineChars="400"/>
        <w:jc w:val="both"/>
        <w:rPr>
          <w:rFonts w:hint="eastAsia" w:ascii="宋体" w:hAnsi="宋体"/>
          <w:sz w:val="32"/>
        </w:rPr>
      </w:pPr>
      <w:r>
        <w:rPr>
          <w:rFonts w:hint="eastAsia" w:ascii="宋体" w:hAnsi="宋体"/>
          <w:sz w:val="32"/>
        </w:rPr>
        <w:t>编</w:t>
      </w:r>
      <w:r>
        <w:rPr>
          <w:rFonts w:hint="eastAsia" w:ascii="宋体" w:hAnsi="宋体"/>
          <w:sz w:val="32"/>
          <w:lang w:val="en-US" w:eastAsia="zh-CN"/>
        </w:rPr>
        <w:t xml:space="preserve">       </w:t>
      </w:r>
      <w:r>
        <w:rPr>
          <w:rFonts w:hint="eastAsia" w:ascii="宋体" w:hAnsi="宋体"/>
          <w:sz w:val="32"/>
        </w:rPr>
        <w:t>号</w:t>
      </w:r>
      <w:r>
        <w:rPr>
          <w:rFonts w:hint="eastAsia" w:ascii="宋体" w:hAnsi="宋体"/>
          <w:sz w:val="32"/>
        </w:rPr>
        <w:t>：</w:t>
      </w:r>
      <w:bookmarkStart w:id="2" w:name="合同编号"/>
      <w:r>
        <w:rPr>
          <w:rFonts w:hint="eastAsia" w:ascii="宋体" w:hAnsi="宋体"/>
          <w:sz w:val="32"/>
          <w:u w:val="single"/>
        </w:rPr>
        <w:t>0023-2018-2020</w:t>
      </w:r>
      <w:bookmarkEnd w:id="2"/>
    </w:p>
    <w:p>
      <w:pPr>
        <w:spacing w:line="360" w:lineRule="auto"/>
        <w:ind w:firstLine="1280" w:firstLineChars="400"/>
        <w:jc w:val="both"/>
        <w:rPr>
          <w:rFonts w:hint="eastAsia" w:ascii="宋体" w:hAnsi="宋体"/>
          <w:sz w:val="32"/>
        </w:rPr>
      </w:pPr>
      <w:r>
        <w:rPr>
          <w:rFonts w:hint="eastAsia" w:ascii="宋体" w:hAnsi="宋体"/>
          <w:sz w:val="32"/>
        </w:rPr>
        <w:t>审</w:t>
      </w:r>
      <w:r>
        <w:rPr>
          <w:rFonts w:hint="eastAsia" w:ascii="宋体" w:hAnsi="宋体"/>
          <w:sz w:val="32"/>
          <w:lang w:val="en-US" w:eastAsia="zh-CN"/>
        </w:rPr>
        <w:t xml:space="preserve"> </w:t>
      </w:r>
      <w:r>
        <w:rPr>
          <w:rFonts w:hint="eastAsia" w:ascii="宋体" w:hAnsi="宋体"/>
          <w:sz w:val="32"/>
        </w:rPr>
        <w:t>核</w:t>
      </w:r>
      <w:r>
        <w:rPr>
          <w:rFonts w:hint="eastAsia" w:ascii="宋体" w:hAnsi="宋体"/>
          <w:sz w:val="32"/>
          <w:lang w:val="en-US" w:eastAsia="zh-CN"/>
        </w:rPr>
        <w:t xml:space="preserve"> </w:t>
      </w:r>
      <w:r>
        <w:rPr>
          <w:rFonts w:hint="eastAsia" w:ascii="宋体" w:hAnsi="宋体"/>
          <w:sz w:val="32"/>
        </w:rPr>
        <w:t>类</w:t>
      </w:r>
      <w:r>
        <w:rPr>
          <w:rFonts w:hint="eastAsia" w:ascii="宋体" w:hAnsi="宋体"/>
          <w:sz w:val="32"/>
          <w:lang w:val="en-US" w:eastAsia="zh-CN"/>
        </w:rPr>
        <w:t xml:space="preserve"> </w:t>
      </w:r>
      <w:r>
        <w:rPr>
          <w:rFonts w:hint="eastAsia" w:ascii="宋体" w:hAnsi="宋体"/>
          <w:sz w:val="32"/>
        </w:rPr>
        <w:t>型：</w:t>
      </w:r>
      <w:r>
        <w:rPr>
          <w:rFonts w:hint="eastAsia" w:ascii="宋体" w:hAnsi="宋体"/>
          <w:sz w:val="32"/>
          <w:u w:val="single"/>
          <w:lang w:val="en-US" w:eastAsia="zh-CN"/>
        </w:rPr>
        <w:t>2020</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0023-2018-2020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74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3325"/>
        <w:gridCol w:w="1638"/>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r>
              <w:rPr>
                <w:rFonts w:hint="eastAsia" w:cs="宋体" w:asciiTheme="minorEastAsia" w:hAnsiTheme="minorEastAsia"/>
                <w:kern w:val="0"/>
                <w:szCs w:val="21"/>
              </w:rPr>
              <w:t>企业名称</w:t>
            </w:r>
          </w:p>
        </w:tc>
        <w:tc>
          <w:tcPr>
            <w:tcW w:w="3325" w:type="dxa"/>
            <w:vAlign w:val="center"/>
          </w:tcPr>
          <w:p>
            <w:pPr>
              <w:tabs>
                <w:tab w:val="left" w:pos="880"/>
              </w:tabs>
              <w:autoSpaceDE w:val="0"/>
              <w:autoSpaceDN w:val="0"/>
              <w:adjustRightInd w:val="0"/>
              <w:spacing w:before="35" w:line="276" w:lineRule="auto"/>
              <w:ind w:right="161"/>
              <w:jc w:val="left"/>
              <w:rPr>
                <w:rFonts w:hint="eastAsia" w:cs="宋体" w:asciiTheme="minorEastAsia" w:hAnsiTheme="minorEastAsia"/>
                <w:kern w:val="0"/>
                <w:szCs w:val="21"/>
              </w:rPr>
            </w:pPr>
            <w:r>
              <w:rPr>
                <w:rFonts w:hint="eastAsia" w:cs="宋体" w:asciiTheme="minorEastAsia" w:hAnsiTheme="minorEastAsia"/>
                <w:kern w:val="0"/>
                <w:szCs w:val="21"/>
              </w:rPr>
              <w:t>陕西大风印务科技股份有限公司</w:t>
            </w:r>
          </w:p>
        </w:tc>
        <w:tc>
          <w:tcPr>
            <w:tcW w:w="1638"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r>
              <w:rPr>
                <w:rFonts w:hint="eastAsia" w:cs="宋体" w:asciiTheme="minorEastAsia" w:hAnsiTheme="minorEastAsia"/>
                <w:kern w:val="0"/>
                <w:szCs w:val="21"/>
              </w:rPr>
              <w:t>企业联系人</w:t>
            </w:r>
          </w:p>
        </w:tc>
        <w:tc>
          <w:tcPr>
            <w:tcW w:w="1987"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r>
              <w:rPr>
                <w:rFonts w:hint="eastAsia" w:cs="宋体" w:asciiTheme="minorEastAsia" w:hAnsiTheme="minorEastAsia"/>
                <w:kern w:val="0"/>
                <w:szCs w:val="21"/>
                <w:lang w:eastAsia="zh-CN"/>
              </w:rPr>
              <w:t>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tabs>
                <w:tab w:val="left" w:pos="880"/>
              </w:tabs>
              <w:autoSpaceDE w:val="0"/>
              <w:autoSpaceDN w:val="0"/>
              <w:adjustRightInd w:val="0"/>
              <w:spacing w:before="35" w:line="276" w:lineRule="auto"/>
              <w:ind w:right="161"/>
              <w:rPr>
                <w:rFonts w:hint="eastAsia" w:cs="宋体" w:asciiTheme="minorEastAsia" w:hAnsiTheme="minorEastAsia"/>
                <w:kern w:val="0"/>
                <w:szCs w:val="21"/>
              </w:rPr>
            </w:pPr>
            <w:r>
              <w:rPr>
                <w:rFonts w:hint="eastAsia" w:cs="宋体" w:asciiTheme="minorEastAsia" w:hAnsiTheme="minorEastAsia"/>
                <w:kern w:val="0"/>
                <w:szCs w:val="21"/>
              </w:rPr>
              <w:t>认证证书编号</w:t>
            </w:r>
          </w:p>
        </w:tc>
        <w:tc>
          <w:tcPr>
            <w:tcW w:w="3325" w:type="dxa"/>
            <w:vAlign w:val="top"/>
          </w:tcPr>
          <w:p>
            <w:pPr>
              <w:tabs>
                <w:tab w:val="left" w:pos="880"/>
              </w:tabs>
              <w:autoSpaceDE w:val="0"/>
              <w:autoSpaceDN w:val="0"/>
              <w:adjustRightInd w:val="0"/>
              <w:spacing w:before="35" w:line="276" w:lineRule="auto"/>
              <w:ind w:right="161"/>
              <w:rPr>
                <w:rFonts w:hint="default" w:cs="宋体" w:asciiTheme="minorEastAsia" w:hAnsiTheme="minorEastAsia"/>
                <w:kern w:val="0"/>
                <w:szCs w:val="21"/>
                <w:lang w:val="en-US"/>
              </w:rPr>
            </w:pPr>
            <w:bookmarkStart w:id="4" w:name="证书编号"/>
            <w:bookmarkEnd w:id="4"/>
            <w:r>
              <w:rPr>
                <w:rFonts w:hint="eastAsia" w:cs="宋体" w:asciiTheme="minorEastAsia" w:hAnsiTheme="minorEastAsia"/>
                <w:kern w:val="0"/>
                <w:szCs w:val="21"/>
              </w:rPr>
              <w:t>ISC-</w:t>
            </w:r>
            <w:r>
              <w:rPr>
                <w:rFonts w:hint="eastAsia" w:cs="宋体" w:asciiTheme="minorEastAsia" w:hAnsiTheme="minorEastAsia"/>
                <w:kern w:val="0"/>
                <w:szCs w:val="21"/>
                <w:lang w:val="en-US" w:eastAsia="zh-CN"/>
              </w:rPr>
              <w:t>2018- 0227</w:t>
            </w:r>
          </w:p>
        </w:tc>
        <w:tc>
          <w:tcPr>
            <w:tcW w:w="1638" w:type="dxa"/>
            <w:vAlign w:val="top"/>
          </w:tcPr>
          <w:p>
            <w:pPr>
              <w:tabs>
                <w:tab w:val="left" w:pos="880"/>
              </w:tabs>
              <w:autoSpaceDE w:val="0"/>
              <w:autoSpaceDN w:val="0"/>
              <w:adjustRightInd w:val="0"/>
              <w:spacing w:before="35" w:line="276" w:lineRule="auto"/>
              <w:ind w:right="161"/>
              <w:rPr>
                <w:rFonts w:hint="eastAsia" w:cs="宋体" w:asciiTheme="minorEastAsia" w:hAnsiTheme="minorEastAsia"/>
                <w:kern w:val="0"/>
                <w:szCs w:val="21"/>
              </w:rPr>
            </w:pPr>
            <w:r>
              <w:rPr>
                <w:rFonts w:hint="eastAsia" w:cs="宋体" w:asciiTheme="minorEastAsia" w:hAnsiTheme="minorEastAsia"/>
                <w:kern w:val="0"/>
                <w:szCs w:val="21"/>
              </w:rPr>
              <w:t>证书有效期</w:t>
            </w:r>
          </w:p>
        </w:tc>
        <w:tc>
          <w:tcPr>
            <w:tcW w:w="1987" w:type="dxa"/>
            <w:vAlign w:val="top"/>
          </w:tcPr>
          <w:p>
            <w:pPr>
              <w:tabs>
                <w:tab w:val="left" w:pos="880"/>
              </w:tabs>
              <w:autoSpaceDE w:val="0"/>
              <w:autoSpaceDN w:val="0"/>
              <w:adjustRightInd w:val="0"/>
              <w:spacing w:before="35" w:line="276" w:lineRule="auto"/>
              <w:ind w:right="161"/>
              <w:rPr>
                <w:rFonts w:hint="eastAsia" w:cs="宋体" w:asciiTheme="minorEastAsia" w:hAnsiTheme="minorEastAsia"/>
                <w:kern w:val="0"/>
                <w:szCs w:val="21"/>
              </w:rPr>
            </w:pPr>
            <w:bookmarkStart w:id="5" w:name="证书有效期"/>
            <w:bookmarkEnd w:id="5"/>
            <w:r>
              <w:rPr>
                <w:rFonts w:hint="eastAsia" w:cs="宋体" w:asciiTheme="minorEastAsia" w:hAnsiTheme="minorEastAsia"/>
                <w:kern w:val="0"/>
                <w:szCs w:val="21"/>
              </w:rPr>
              <w:t>202</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年0</w:t>
            </w: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28</w:t>
            </w:r>
            <w:r>
              <w:rPr>
                <w:rFonts w:hint="eastAsia"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325" w:type="dxa"/>
            <w:vAlign w:val="top"/>
          </w:tcPr>
          <w:p>
            <w:pPr>
              <w:tabs>
                <w:tab w:val="left" w:pos="880"/>
              </w:tabs>
              <w:autoSpaceDE w:val="0"/>
              <w:autoSpaceDN w:val="0"/>
              <w:adjustRightInd w:val="0"/>
              <w:spacing w:before="35" w:line="360" w:lineRule="auto"/>
              <w:ind w:right="161" w:rightChars="0" w:firstLine="210" w:firstLineChars="100"/>
              <w:rPr>
                <w:rFonts w:cs="宋体" w:asciiTheme="minorEastAsia" w:hAnsiTheme="minorEastAsia"/>
                <w:kern w:val="0"/>
                <w:szCs w:val="21"/>
              </w:rPr>
            </w:pPr>
            <w:r>
              <w:rPr>
                <w:rFonts w:hint="eastAsia" w:cs="宋体" w:asciiTheme="minorEastAsia" w:hAnsiTheme="minorEastAsia"/>
                <w:kern w:val="0"/>
                <w:szCs w:val="21"/>
              </w:rPr>
              <w:t>第</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次监督审核</w:t>
            </w:r>
          </w:p>
        </w:tc>
        <w:tc>
          <w:tcPr>
            <w:tcW w:w="1638"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kern w:val="0"/>
                <w:szCs w:val="21"/>
              </w:rPr>
              <w:t>时间</w:t>
            </w:r>
          </w:p>
        </w:tc>
        <w:tc>
          <w:tcPr>
            <w:tcW w:w="1987"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96"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325" w:type="dxa"/>
            <w:vAlign w:val="top"/>
          </w:tcPr>
          <w:p>
            <w:pPr>
              <w:tabs>
                <w:tab w:val="left" w:pos="880"/>
              </w:tabs>
              <w:autoSpaceDE w:val="0"/>
              <w:autoSpaceDN w:val="0"/>
              <w:adjustRightInd w:val="0"/>
              <w:spacing w:before="35" w:line="360" w:lineRule="auto"/>
              <w:ind w:right="161"/>
              <w:rPr>
                <w:rFonts w:hint="eastAsia" w:ascii="宋体" w:hAnsi="宋体"/>
                <w:szCs w:val="21"/>
              </w:rPr>
            </w:pPr>
            <w:r>
              <w:rPr>
                <w:rFonts w:hint="eastAsia" w:ascii="宋体" w:hAnsi="宋体"/>
                <w:szCs w:val="21"/>
                <w:lang w:val="en-US" w:eastAsia="zh-CN"/>
              </w:rPr>
              <w:t xml:space="preserve"> 李学弘 </w:t>
            </w:r>
            <w:r>
              <w:rPr>
                <w:rFonts w:hint="eastAsia" w:ascii="宋体" w:hAnsi="宋体"/>
                <w:szCs w:val="21"/>
              </w:rPr>
              <w:t>ISC[S]0117</w:t>
            </w:r>
          </w:p>
          <w:p>
            <w:pPr>
              <w:tabs>
                <w:tab w:val="left" w:pos="880"/>
              </w:tabs>
              <w:autoSpaceDE w:val="0"/>
              <w:autoSpaceDN w:val="0"/>
              <w:adjustRightInd w:val="0"/>
              <w:spacing w:before="35" w:line="360" w:lineRule="auto"/>
              <w:ind w:right="161" w:firstLine="210" w:firstLineChars="100"/>
              <w:rPr>
                <w:rFonts w:cs="宋体" w:asciiTheme="minorEastAsia" w:hAnsiTheme="minorEastAsia"/>
                <w:kern w:val="0"/>
                <w:szCs w:val="21"/>
              </w:rPr>
            </w:pPr>
            <w:r>
              <w:rPr>
                <w:rFonts w:hint="eastAsia"/>
                <w:color w:val="000000"/>
                <w:szCs w:val="21"/>
                <w:lang w:eastAsia="zh-CN"/>
              </w:rPr>
              <w:t>李</w:t>
            </w:r>
            <w:r>
              <w:rPr>
                <w:rFonts w:hint="eastAsia"/>
                <w:color w:val="000000"/>
                <w:szCs w:val="21"/>
                <w:lang w:val="en-US" w:eastAsia="zh-CN"/>
              </w:rPr>
              <w:t xml:space="preserve">琪 </w:t>
            </w:r>
            <w:r>
              <w:rPr>
                <w:rFonts w:hint="eastAsia" w:ascii="宋体" w:hAnsi="宋体"/>
                <w:szCs w:val="21"/>
              </w:rPr>
              <w:t>ISC[S]0040</w:t>
            </w:r>
          </w:p>
        </w:tc>
        <w:tc>
          <w:tcPr>
            <w:tcW w:w="1638"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987" w:type="dxa"/>
            <w:vAlign w:val="top"/>
          </w:tcPr>
          <w:p>
            <w:pPr>
              <w:spacing w:line="276" w:lineRule="auto"/>
              <w:rPr>
                <w:rFonts w:cs="宋体" w:asciiTheme="minorEastAsia" w:hAnsiTheme="minorEastAsia"/>
                <w:kern w:val="0"/>
                <w:szCs w:val="21"/>
              </w:rPr>
            </w:pPr>
            <w:r>
              <w:rPr>
                <w:rFonts w:hint="eastAsia" w:ascii="宋体"/>
              </w:rPr>
              <w:t>品质部</w:t>
            </w:r>
            <w:r>
              <w:rPr>
                <w:rFonts w:hint="eastAsia" w:ascii="宋体"/>
                <w:lang w:eastAsia="zh-CN"/>
              </w:rPr>
              <w:t>、</w:t>
            </w:r>
            <w:r>
              <w:rPr>
                <w:rFonts w:hint="eastAsia" w:ascii="宋体"/>
                <w:bCs/>
                <w:lang w:val="en-US" w:eastAsia="zh-CN"/>
              </w:rPr>
              <w:t>行政</w:t>
            </w:r>
            <w:r>
              <w:rPr>
                <w:rFonts w:hint="eastAsia" w:ascii="宋体"/>
                <w:bCs/>
              </w:rPr>
              <w:t>部</w:t>
            </w:r>
            <w:r>
              <w:rPr>
                <w:rFonts w:hint="eastAsia" w:ascii="宋体"/>
                <w:bCs/>
                <w:lang w:eastAsia="zh-CN"/>
              </w:rPr>
              <w:t>、</w:t>
            </w:r>
            <w:r>
              <w:rPr>
                <w:rFonts w:hint="eastAsia" w:ascii="宋体"/>
                <w:bCs/>
              </w:rPr>
              <w:t>生产部</w:t>
            </w:r>
            <w:r>
              <w:rPr>
                <w:rFonts w:hint="eastAsia" w:ascii="宋体"/>
                <w:bCs/>
                <w:lang w:eastAsia="zh-CN"/>
              </w:rPr>
              <w:t>、</w:t>
            </w:r>
            <w:r>
              <w:rPr>
                <w:rFonts w:hint="eastAsia" w:cs="宋体" w:asciiTheme="minorEastAsia" w:hAnsiTheme="minorEastAsia"/>
                <w:kern w:val="0"/>
                <w:szCs w:val="21"/>
                <w:lang w:val="en-US" w:eastAsia="zh-CN"/>
              </w:rPr>
              <w:t>营销中心、</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cs="宋体" w:asciiTheme="minorEastAsia" w:hAnsiTheme="minorEastAsia"/>
          <w:bCs/>
          <w:kern w:val="0"/>
          <w:szCs w:val="21"/>
        </w:rPr>
        <w:t>一年内</w:t>
      </w:r>
      <w:r>
        <w:rPr>
          <w:rFonts w:hint="eastAsia" w:cs="宋体" w:asciiTheme="minorEastAsia" w:hAnsiTheme="minorEastAsia"/>
          <w:bCs/>
          <w:kern w:val="0"/>
          <w:szCs w:val="21"/>
        </w:rPr>
        <w:t>，</w:t>
      </w:r>
      <w:r>
        <w:rPr>
          <w:rFonts w:hint="eastAsia" w:ascii="宋体" w:hAnsi="宋体"/>
          <w:szCs w:val="21"/>
        </w:rPr>
        <w:t>公司</w:t>
      </w:r>
      <w:r>
        <w:rPr>
          <w:rFonts w:hint="eastAsia"/>
          <w:bCs/>
          <w:szCs w:val="21"/>
        </w:rPr>
        <w:t>日常运行中生产、经营、安全、销售及行政管理方面，未出现</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问题或</w:t>
      </w:r>
      <w:r>
        <w:rPr>
          <w:rFonts w:cs="宋体" w:asciiTheme="minorEastAsia" w:hAnsiTheme="minorEastAsia"/>
          <w:bCs/>
          <w:kern w:val="0"/>
          <w:szCs w:val="21"/>
        </w:rPr>
        <w:t>重大事故</w:t>
      </w:r>
      <w:r>
        <w:rPr>
          <w:rFonts w:hint="eastAsia" w:cs="宋体" w:asciiTheme="minorEastAsia" w:hAnsiTheme="minorEastAsia"/>
          <w:bCs/>
          <w:kern w:val="0"/>
          <w:szCs w:val="21"/>
        </w:rPr>
        <w:t>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r>
        <w:rPr>
          <w:rFonts w:hint="eastAsia" w:cs="宋体" w:asciiTheme="minorEastAsia" w:hAnsiTheme="minorEastAsia"/>
          <w:bCs/>
          <w:kern w:val="0"/>
          <w:szCs w:val="21"/>
          <w:lang w:eastAsia="zh-CN"/>
        </w:rPr>
        <w:t>。</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为有效评价公司测量管理体系认证后一年以来运行情况，20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7</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14</w:t>
      </w:r>
      <w:r>
        <w:rPr>
          <w:rFonts w:hint="eastAsia" w:cs="宋体" w:asciiTheme="minorEastAsia" w:hAnsiTheme="minorEastAsia"/>
          <w:bCs/>
          <w:kern w:val="0"/>
          <w:szCs w:val="21"/>
        </w:rPr>
        <w:t>日，</w:t>
      </w:r>
      <w:r>
        <w:rPr>
          <w:rFonts w:hint="eastAsia" w:cs="宋体" w:asciiTheme="minorEastAsia" w:hAnsiTheme="minorEastAsia"/>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cs="宋体" w:asciiTheme="minorEastAsia" w:hAnsiTheme="minorEastAsia"/>
          <w:bCs/>
          <w:kern w:val="0"/>
          <w:szCs w:val="21"/>
        </w:rPr>
        <w:t>现场审核中，审核组先、后抽样检查了涉及公司测量体系内的管理、生产、经营、质量和环境等方面的</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个职能部门</w:t>
      </w:r>
      <w:r>
        <w:rPr>
          <w:rFonts w:hint="eastAsia" w:cs="宋体" w:asciiTheme="minorEastAsia" w:hAnsiTheme="minorEastAsia"/>
          <w:bCs/>
          <w:kern w:val="0"/>
          <w:szCs w:val="21"/>
          <w:lang w:eastAsia="zh-CN"/>
        </w:rPr>
        <w:t>及</w:t>
      </w:r>
      <w:r>
        <w:rPr>
          <w:rFonts w:hint="eastAsia" w:cs="宋体" w:asciiTheme="minorEastAsia" w:hAnsiTheme="minorEastAsia"/>
          <w:bCs/>
          <w:kern w:val="0"/>
          <w:szCs w:val="21"/>
        </w:rPr>
        <w:t>车间，该企业不是重点耗能单位，企业的能源计量器具的配备率及准确度等级均满足G</w:t>
      </w:r>
      <w:r>
        <w:rPr>
          <w:rFonts w:cs="宋体" w:asciiTheme="minorEastAsia" w:hAnsiTheme="minorEastAsia"/>
          <w:bCs/>
          <w:kern w:val="0"/>
          <w:szCs w:val="21"/>
        </w:rPr>
        <w:t>B17167-2006</w:t>
      </w:r>
      <w:r>
        <w:rPr>
          <w:rFonts w:hint="eastAsia" w:cs="宋体" w:asciiTheme="minorEastAsia" w:hAnsiTheme="minorEastAsia"/>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eastAsia="宋体" w:cs="Times New Roman"/>
          <w:szCs w:val="21"/>
        </w:rPr>
        <w:t>原材料、</w:t>
      </w:r>
      <w:r>
        <w:rPr>
          <w:rFonts w:hint="eastAsia" w:ascii="宋体" w:hAnsi="宋体" w:eastAsia="宋体" w:cs="Times New Roman"/>
          <w:szCs w:val="21"/>
          <w:lang w:eastAsia="zh-CN"/>
        </w:rPr>
        <w:t>印刷</w:t>
      </w:r>
      <w:r>
        <w:rPr>
          <w:rFonts w:hint="eastAsia" w:ascii="宋体" w:hAnsi="宋体" w:eastAsia="宋体" w:cs="Times New Roman"/>
          <w:szCs w:val="21"/>
        </w:rPr>
        <w:t>生产线</w:t>
      </w:r>
      <w:r>
        <w:rPr>
          <w:rFonts w:hint="eastAsia" w:ascii="宋体" w:hAnsi="宋体" w:eastAsia="宋体" w:cs="Times New Roman"/>
          <w:szCs w:val="21"/>
          <w:lang w:eastAsia="zh-CN"/>
        </w:rPr>
        <w:t>及成品检验实验室的</w:t>
      </w:r>
      <w:r>
        <w:rPr>
          <w:rFonts w:hint="eastAsia" w:ascii="宋体" w:hAnsi="宋体" w:eastAsia="宋体" w:cs="Times New Roman"/>
          <w:szCs w:val="21"/>
        </w:rPr>
        <w:t>测量过程</w:t>
      </w:r>
      <w:r>
        <w:rPr>
          <w:rFonts w:hint="eastAsia" w:ascii="宋体" w:hAnsi="宋体"/>
          <w:szCs w:val="21"/>
        </w:rPr>
        <w:t>以及量值溯源</w:t>
      </w:r>
      <w:r>
        <w:rPr>
          <w:rFonts w:hint="eastAsia" w:ascii="宋体" w:hAnsi="宋体"/>
          <w:szCs w:val="21"/>
          <w:lang w:eastAsia="zh-CN"/>
        </w:rPr>
        <w:t>情况</w:t>
      </w:r>
      <w:r>
        <w:rPr>
          <w:rFonts w:hint="eastAsia" w:cs="宋体" w:asciiTheme="minorEastAsia" w:hAnsiTheme="minorEastAsia"/>
          <w:bCs/>
          <w:kern w:val="0"/>
          <w:szCs w:val="21"/>
        </w:rPr>
        <w:t>，同时，跟踪验证了该公司在获得测量管理体系认证后，对体系的运行监视、分析完善和持续改进等工作情况。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1"/>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numPr>
          <w:numId w:val="0"/>
        </w:numPr>
        <w:spacing w:line="360" w:lineRule="auto"/>
        <w:ind w:firstLine="420" w:firstLineChars="200"/>
        <w:jc w:val="both"/>
        <w:rPr>
          <w:rFonts w:cs="宋体" w:asciiTheme="minorEastAsia" w:hAnsiTheme="minorEastAsia"/>
          <w:bCs/>
          <w:kern w:val="0"/>
          <w:szCs w:val="21"/>
        </w:rPr>
      </w:pPr>
      <w:r>
        <w:rPr>
          <w:rFonts w:hint="eastAsia" w:cs="宋体" w:asciiTheme="minorEastAsia" w:hAnsiTheme="minorEastAsia"/>
          <w:bCs/>
          <w:kern w:val="0"/>
          <w:szCs w:val="21"/>
        </w:rPr>
        <w:t>在审核过程中了解到，该公司于201</w:t>
      </w: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12</w:t>
      </w:r>
      <w:r>
        <w:rPr>
          <w:rFonts w:hint="eastAsia" w:cs="宋体" w:asciiTheme="minorEastAsia" w:hAnsiTheme="minorEastAsia"/>
          <w:bCs/>
          <w:kern w:val="0"/>
          <w:szCs w:val="21"/>
        </w:rPr>
        <w:t>日 组织了内部审核，对内审中提出的</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项不符合制定了纠正措施，并已于201</w:t>
      </w: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日进行了整改。201</w:t>
      </w: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11</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w:t>
      </w:r>
      <w:r>
        <w:rPr>
          <w:rFonts w:hint="eastAsia" w:cs="宋体" w:asciiTheme="minorEastAsia" w:hAnsiTheme="minorEastAsia"/>
          <w:bCs/>
          <w:kern w:val="0"/>
          <w:szCs w:val="21"/>
        </w:rPr>
        <w:t>0日进行了管理评审，对测量管理体系进行了有效评价，确保了测量管理体系的运行质量。</w:t>
      </w:r>
    </w:p>
    <w:p>
      <w:pPr>
        <w:widowControl/>
        <w:spacing w:line="360"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widowControl/>
        <w:spacing w:line="360" w:lineRule="auto"/>
        <w:rPr>
          <w:rFonts w:ascii="宋体" w:hAnsi="宋体"/>
          <w:bCs/>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陕西大风印务科技有限公司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201</w:t>
      </w:r>
      <w:r>
        <w:rPr>
          <w:rFonts w:hint="eastAsia" w:ascii="宋体" w:hAnsi="宋体" w:cs="宋体"/>
          <w:kern w:val="0"/>
          <w:szCs w:val="21"/>
          <w:lang w:val="en-US" w:eastAsia="zh-CN"/>
        </w:rPr>
        <w:t>9</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rPr>
          <w:rFonts w:hint="eastAsia" w:ascii="宋体" w:hAnsi="宋体" w:eastAsia="宋体" w:cs="宋体"/>
          <w:color w:val="000000"/>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cs="宋体"/>
          <w:kern w:val="0"/>
          <w:szCs w:val="21"/>
        </w:rPr>
        <w:t>抽查了企业对已识别的2个关键测量过程：纸板定量的测定、纸板厚度测量过程，体系运行一年来未有新增测量过程，对高度控制的测量过程能进行有效性控制、监视，记录、监视控制图齐全，完整；抽查了纸板定量的测定过程控制的监视记录，测量过程监视统计记录表及监视控制图。</w:t>
      </w:r>
    </w:p>
    <w:p>
      <w:pPr>
        <w:spacing w:line="360" w:lineRule="auto"/>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.1查</w:t>
      </w:r>
      <w:r>
        <w:rPr>
          <w:rFonts w:hint="eastAsia" w:hAnsi="宋体"/>
          <w:color w:val="000000"/>
          <w:kern w:val="2"/>
          <w:sz w:val="21"/>
          <w:szCs w:val="21"/>
          <w:lang w:val="en-US" w:eastAsia="zh-CN" w:bidi="ar-SA"/>
        </w:rPr>
        <w:t>纸板定量测量</w:t>
      </w:r>
      <w:r>
        <w:rPr>
          <w:rFonts w:hint="eastAsia" w:ascii="宋体" w:hAnsi="宋体" w:cs="宋体"/>
          <w:color w:val="000000"/>
          <w:kern w:val="0"/>
          <w:szCs w:val="21"/>
        </w:rPr>
        <w:t>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现场重点抽查</w:t>
      </w:r>
      <w:r>
        <w:rPr>
          <w:rFonts w:hint="eastAsia" w:hAnsi="宋体"/>
          <w:color w:val="000000"/>
          <w:kern w:val="2"/>
          <w:sz w:val="21"/>
          <w:szCs w:val="21"/>
          <w:lang w:val="en-US" w:eastAsia="zh-CN" w:bidi="ar-SA"/>
        </w:rPr>
        <w:t>纸板定量测量</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hAnsi="宋体"/>
          <w:color w:val="000000"/>
          <w:kern w:val="2"/>
          <w:sz w:val="21"/>
          <w:szCs w:val="21"/>
          <w:lang w:val="en-US" w:eastAsia="zh-CN" w:bidi="ar-SA"/>
        </w:rPr>
        <w:t>纸板定量测量</w:t>
      </w:r>
      <w:r>
        <w:rPr>
          <w:rFonts w:hint="eastAsia" w:ascii="宋体" w:hAnsi="宋体" w:cs="宋体"/>
          <w:color w:val="000000"/>
          <w:kern w:val="0"/>
          <w:szCs w:val="21"/>
        </w:rPr>
        <w:t>过程</w:t>
      </w:r>
      <w:r>
        <w:rPr>
          <w:rFonts w:hint="eastAsia" w:ascii="宋体" w:hAnsi="宋体"/>
          <w:color w:val="000000"/>
          <w:szCs w:val="21"/>
        </w:rPr>
        <w:t>有效性确认，测量过程监视记和控制图绘制，基本满足标准要求，</w:t>
      </w:r>
      <w:r>
        <w:rPr>
          <w:rFonts w:hint="eastAsia" w:ascii="宋体" w:hAnsi="宋体"/>
          <w:bCs/>
          <w:color w:val="000000"/>
          <w:szCs w:val="21"/>
        </w:rPr>
        <w:t>详</w:t>
      </w:r>
      <w:r>
        <w:rPr>
          <w:rFonts w:hint="eastAsia" w:ascii="宋体" w:hAnsi="宋体"/>
          <w:color w:val="000000"/>
          <w:szCs w:val="21"/>
        </w:rPr>
        <w:t>见附件《测量过程监视记录及控制图》、《测量过程有效性确认记录表》。</w:t>
      </w:r>
    </w:p>
    <w:p>
      <w:pPr>
        <w:widowControl/>
        <w:numPr>
          <w:numId w:val="0"/>
        </w:numPr>
        <w:spacing w:line="276" w:lineRule="auto"/>
        <w:ind w:leftChars="0"/>
        <w:rPr>
          <w:rFonts w:cs="宋体" w:asciiTheme="minorEastAsia" w:hAnsiTheme="minorEastAsia"/>
          <w:bCs/>
          <w:kern w:val="0"/>
          <w:szCs w:val="21"/>
        </w:rPr>
      </w:pPr>
      <w:r>
        <w:rPr>
          <w:rFonts w:hint="eastAsia" w:asciiTheme="minorEastAsia" w:hAnsiTheme="minorEastAsia"/>
          <w:bCs/>
          <w:szCs w:val="21"/>
          <w:lang w:val="en-US" w:eastAsia="zh-CN"/>
        </w:rPr>
        <w:t>5.</w:t>
      </w:r>
      <w:r>
        <w:rPr>
          <w:rFonts w:hint="eastAsia" w:asciiTheme="minorEastAsia" w:hAnsiTheme="minorEastAsia"/>
          <w:bCs/>
          <w:szCs w:val="21"/>
        </w:rPr>
        <w:t>对</w:t>
      </w:r>
      <w:r>
        <w:rPr>
          <w:rFonts w:hint="eastAsia" w:asciiTheme="minorEastAsia" w:hAnsiTheme="minorEastAsia"/>
          <w:bCs/>
          <w:szCs w:val="21"/>
          <w:lang w:val="en-US" w:eastAsia="zh-CN"/>
        </w:rPr>
        <w:t>上次监督</w:t>
      </w:r>
      <w:r>
        <w:rPr>
          <w:rFonts w:hint="eastAsia" w:asciiTheme="minorEastAsia" w:hAnsiTheme="minorEastAsia"/>
          <w:bCs/>
          <w:szCs w:val="21"/>
        </w:rPr>
        <w:t>审核时提出的的不符合项的纠正措施情况有表述</w:t>
      </w:r>
      <w:r>
        <w:rPr>
          <w:rFonts w:cs="宋体" w:asciiTheme="minorEastAsia" w:hAnsiTheme="minorEastAsia"/>
          <w:bCs/>
          <w:kern w:val="0"/>
          <w:szCs w:val="21"/>
        </w:rPr>
        <w:t>：</w:t>
      </w:r>
    </w:p>
    <w:p>
      <w:pPr>
        <w:pStyle w:val="10"/>
        <w:widowControl/>
        <w:spacing w:line="360" w:lineRule="auto"/>
        <w:ind w:left="0" w:leftChars="0" w:firstLine="210" w:firstLineChars="100"/>
        <w:jc w:val="left"/>
        <w:rPr>
          <w:rFonts w:cs="宋体" w:asciiTheme="minorEastAsia" w:hAnsiTheme="minorEastAsia"/>
          <w:kern w:val="0"/>
          <w:szCs w:val="21"/>
        </w:rPr>
      </w:pPr>
      <w:r>
        <w:rPr>
          <w:rFonts w:hint="eastAsia" w:cs="宋体"/>
          <w:kern w:val="0"/>
        </w:rPr>
        <w:t>公司已针对上一年度开具的不符合项</w:t>
      </w:r>
      <w:r>
        <w:rPr>
          <w:rFonts w:hint="eastAsia" w:cs="宋体"/>
          <w:kern w:val="0"/>
          <w:lang w:eastAsia="zh-CN"/>
        </w:rPr>
        <w:t>，</w:t>
      </w:r>
      <w:r>
        <w:rPr>
          <w:rFonts w:hint="eastAsia" w:cs="宋体"/>
          <w:kern w:val="0"/>
          <w:lang w:val="en-US" w:eastAsia="zh-CN"/>
        </w:rPr>
        <w:t>涉及</w:t>
      </w:r>
      <w:r>
        <w:rPr>
          <w:rFonts w:hint="eastAsia" w:ascii="宋体" w:hAnsi="宋体" w:cs="宋体"/>
          <w:kern w:val="0"/>
          <w:szCs w:val="21"/>
          <w:lang w:val="en-US" w:eastAsia="zh-CN"/>
        </w:rPr>
        <w:t>GB/T19022-2003标准</w:t>
      </w:r>
      <w:r>
        <w:rPr>
          <w:rFonts w:hint="eastAsia" w:cs="宋体"/>
          <w:kern w:val="0"/>
          <w:lang w:val="en-US" w:eastAsia="zh-CN"/>
        </w:rPr>
        <w:t>的</w:t>
      </w:r>
      <w:r>
        <w:rPr>
          <w:rFonts w:hint="eastAsia" w:ascii="宋体" w:hAnsi="宋体" w:cs="宋体"/>
          <w:kern w:val="0"/>
          <w:szCs w:val="21"/>
          <w:lang w:val="en-US" w:eastAsia="zh-CN"/>
        </w:rPr>
        <w:t>7.1.1条款，均</w:t>
      </w:r>
      <w:r>
        <w:rPr>
          <w:rFonts w:hint="eastAsia" w:cs="宋体"/>
          <w:kern w:val="0"/>
        </w:rPr>
        <w:t>已采取有效措施，已关闭已采取有效措施，已关闭。</w:t>
      </w:r>
    </w:p>
    <w:p>
      <w:pPr>
        <w:widowControl/>
        <w:numPr>
          <w:ilvl w:val="0"/>
          <w:numId w:val="2"/>
        </w:numPr>
        <w:spacing w:line="276"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宋体" w:hAnsi="宋体"/>
          <w:bCs/>
          <w:szCs w:val="21"/>
        </w:rPr>
        <w:t>公司目前尚未接到客户在产品质量、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bookmarkStart w:id="7" w:name="_GoBack"/>
      <w:bookmarkEnd w:id="7"/>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宋体" w:hAnsi="宋体"/>
          <w:bCs/>
          <w:szCs w:val="21"/>
        </w:rPr>
        <w:t>公司</w:t>
      </w:r>
      <w:r>
        <w:rPr>
          <w:rFonts w:hint="eastAsia" w:ascii="宋体" w:hAnsi="宋体"/>
          <w:bCs/>
          <w:szCs w:val="21"/>
          <w:lang w:val="en-US" w:eastAsia="zh-CN"/>
        </w:rPr>
        <w:t>制</w:t>
      </w:r>
      <w:r>
        <w:rPr>
          <w:rFonts w:hint="eastAsia" w:ascii="宋体" w:hAnsi="宋体"/>
          <w:bCs/>
          <w:szCs w:val="21"/>
        </w:rPr>
        <w:t>定</w:t>
      </w:r>
      <w:r>
        <w:rPr>
          <w:rFonts w:hint="eastAsia" w:ascii="宋体" w:hAnsi="宋体"/>
          <w:bCs/>
          <w:szCs w:val="21"/>
          <w:lang w:val="en-US" w:eastAsia="zh-CN"/>
        </w:rPr>
        <w:t>2019年</w:t>
      </w:r>
      <w:r>
        <w:rPr>
          <w:rFonts w:hint="eastAsia" w:ascii="宋体" w:hAnsi="宋体"/>
          <w:bCs/>
          <w:szCs w:val="21"/>
        </w:rPr>
        <w:t>的计量方针及5项质量目标</w:t>
      </w:r>
      <w:r>
        <w:rPr>
          <w:rFonts w:hint="eastAsia" w:ascii="宋体" w:hAnsi="宋体"/>
          <w:bCs/>
          <w:szCs w:val="21"/>
          <w:lang w:eastAsia="zh-CN"/>
        </w:rPr>
        <w:t>，</w:t>
      </w:r>
      <w:r>
        <w:rPr>
          <w:rFonts w:hint="eastAsia" w:ascii="宋体" w:hAnsi="宋体"/>
          <w:bCs/>
          <w:szCs w:val="21"/>
        </w:rPr>
        <w:t>内容基本覆盖标准要素。公司将质量目标考核细则已纳入员工绩效考核表，进一步体现了实现顾客、质量、服务等方面的要求，符合GB/T 19022-2003标准要</w:t>
      </w:r>
      <w:r>
        <w:rPr>
          <w:rFonts w:hint="eastAsia" w:ascii="宋体" w:hAnsi="宋体"/>
          <w:bCs/>
          <w:szCs w:val="21"/>
          <w:lang w:eastAsia="zh-CN"/>
        </w:rPr>
        <w:t>，</w:t>
      </w:r>
      <w:r>
        <w:rPr>
          <w:rFonts w:hint="eastAsia" w:ascii="宋体" w:hAnsi="宋体"/>
          <w:bCs/>
          <w:szCs w:val="21"/>
          <w:lang w:val="en-US" w:eastAsia="zh-CN"/>
        </w:rPr>
        <w:t>经2020年1月5日，统计考核，各部门均完成目标。</w:t>
      </w:r>
    </w:p>
    <w:p>
      <w:pPr>
        <w:widowControl/>
        <w:numPr>
          <w:ilvl w:val="0"/>
          <w:numId w:val="2"/>
        </w:numPr>
        <w:spacing w:line="276"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360" w:lineRule="auto"/>
        <w:ind w:firstLine="210" w:firstLineChars="1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widowControl/>
        <w:spacing w:line="360" w:lineRule="auto"/>
        <w:rPr>
          <w:rFonts w:cs="宋体" w:asciiTheme="minorEastAsia" w:hAnsiTheme="minorEastAsia"/>
          <w:bCs/>
          <w:kern w:val="0"/>
          <w:szCs w:val="21"/>
        </w:rPr>
      </w:pPr>
      <w:r>
        <w:rPr>
          <w:rFonts w:hint="eastAsia" w:asciiTheme="minorEastAsia" w:hAnsiTheme="minorEastAsia"/>
          <w:bCs/>
          <w:szCs w:val="21"/>
        </w:rPr>
        <w:t>9.标志的使用和（或）任何其他对认证资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该公司已按要求北京国标联合认证有限公司要求正确使用标志和证书。</w:t>
      </w:r>
    </w:p>
    <w:p>
      <w:pPr>
        <w:widowControl/>
        <w:spacing w:line="360" w:lineRule="auto"/>
        <w:rPr>
          <w:rFonts w:cs="宋体" w:asciiTheme="minorEastAsia" w:hAnsiTheme="minorEastAsia"/>
          <w:bCs/>
          <w:kern w:val="0"/>
          <w:szCs w:val="21"/>
        </w:rPr>
      </w:pPr>
      <w:r>
        <w:rPr>
          <w:rFonts w:hint="eastAsia" w:ascii="宋体" w:hAnsi="宋体" w:eastAsia="宋体" w:cs="宋体"/>
          <w:kern w:val="0"/>
          <w:szCs w:val="21"/>
          <w:lang w:val="en-US" w:eastAsia="zh-CN"/>
        </w:rPr>
        <w:t>10.</w:t>
      </w:r>
      <w:r>
        <w:rPr>
          <w:rFonts w:hint="eastAsia" w:ascii="宋体" w:hAnsi="宋体" w:eastAsia="宋体" w:cs="宋体"/>
          <w:kern w:val="0"/>
          <w:szCs w:val="21"/>
        </w:rPr>
        <w:t xml:space="preserve"> 本次监督审核</w:t>
      </w:r>
      <w:r>
        <w:rPr>
          <w:rFonts w:hint="eastAsia" w:ascii="宋体" w:hAnsi="宋体" w:eastAsia="宋体" w:cs="宋体"/>
          <w:kern w:val="0"/>
          <w:szCs w:val="21"/>
          <w:lang w:val="en-US" w:eastAsia="zh-CN"/>
        </w:rPr>
        <w:t>未</w:t>
      </w:r>
      <w:r>
        <w:rPr>
          <w:rFonts w:hint="eastAsia" w:ascii="宋体" w:hAnsi="宋体" w:eastAsia="宋体" w:cs="宋体"/>
          <w:kern w:val="0"/>
          <w:szCs w:val="21"/>
        </w:rPr>
        <w:t>出具一般不符合</w:t>
      </w:r>
      <w:r>
        <w:rPr>
          <w:rFonts w:hint="eastAsia" w:ascii="宋体" w:hAnsi="宋体" w:eastAsia="宋体" w:cs="宋体"/>
          <w:color w:val="000000"/>
          <w:kern w:val="0"/>
          <w:szCs w:val="21"/>
          <w:lang w:val="en-US" w:eastAsia="zh-CN"/>
        </w:rPr>
        <w:t>项</w:t>
      </w:r>
      <w:r>
        <w:rPr>
          <w:rFonts w:hint="eastAsia" w:ascii="宋体" w:hAnsi="宋体" w:eastAsia="宋体" w:cs="宋体"/>
          <w:kern w:val="0"/>
          <w:szCs w:val="21"/>
        </w:rPr>
        <w:t>，未发现严重的或系统性的不符合情况：</w:t>
      </w:r>
    </w:p>
    <w:p>
      <w:pPr>
        <w:widowControl/>
        <w:spacing w:line="360" w:lineRule="auto"/>
        <w:rPr>
          <w:rFonts w:ascii="宋体" w:hAnsi="宋体" w:eastAsia="宋体" w:cs="宋体"/>
          <w:b/>
          <w:bCs/>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7</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14</w:t>
      </w:r>
      <w:r>
        <w:rPr>
          <w:rFonts w:hint="eastAsia" w:ascii="宋体" w:hAnsi="宋体" w:eastAsia="宋体" w:cs="宋体"/>
          <w:bCs/>
          <w:kern w:val="0"/>
          <w:szCs w:val="21"/>
        </w:rPr>
        <w:t>日对</w:t>
      </w:r>
      <w:r>
        <w:rPr>
          <w:rFonts w:hint="eastAsia" w:ascii="宋体" w:hAnsi="宋体" w:eastAsia="宋体"/>
          <w:szCs w:val="21"/>
          <w:lang w:eastAsia="zh-CN"/>
        </w:rPr>
        <w:t>陕西大风印务科技股份有限公司</w:t>
      </w:r>
      <w:r>
        <w:rPr>
          <w:rFonts w:hint="eastAsia" w:ascii="宋体" w:hAnsi="宋体"/>
          <w:szCs w:val="21"/>
        </w:rPr>
        <w:t>公司</w:t>
      </w:r>
      <w:r>
        <w:rPr>
          <w:rFonts w:hint="eastAsia" w:ascii="宋体" w:hAnsi="宋体" w:eastAsia="宋体" w:cs="宋体"/>
          <w:bCs/>
          <w:kern w:val="0"/>
          <w:szCs w:val="21"/>
        </w:rPr>
        <w:t>建立的测量管理体系进行年度监督审核.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陕西大风印务科技股份有限公司</w:t>
      </w:r>
      <w:r>
        <w:rPr>
          <w:rFonts w:hint="eastAsia" w:ascii="宋体" w:hAnsi="宋体"/>
          <w:szCs w:val="21"/>
        </w:rPr>
        <w:t>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360" w:lineRule="auto"/>
        <w:ind w:firstLine="420" w:firstLineChars="200"/>
        <w:rPr>
          <w:rStyle w:val="11"/>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w:t>
      </w:r>
      <w:r>
        <w:rPr>
          <w:rFonts w:hint="eastAsia" w:ascii="宋体" w:hAnsi="宋体" w:eastAsia="宋体" w:cs="Times New Roman"/>
          <w:szCs w:val="21"/>
          <w:lang w:val="en-US" w:eastAsia="zh-CN"/>
        </w:rPr>
        <w:t>进一步加强测量设备验证和溯源结果分析工作</w:t>
      </w:r>
      <w:r>
        <w:rPr>
          <w:rFonts w:hint="eastAsia" w:ascii="宋体" w:hAnsi="宋体" w:eastAsia="宋体" w:cs="Times New Roman"/>
          <w:szCs w:val="21"/>
        </w:rPr>
        <w:t>，</w:t>
      </w:r>
      <w:r>
        <w:rPr>
          <w:rFonts w:hint="eastAsia" w:ascii="宋体" w:hAnsi="宋体" w:eastAsia="宋体" w:cs="Times New Roman"/>
          <w:szCs w:val="21"/>
          <w:lang w:val="en-US" w:eastAsia="zh-CN"/>
        </w:rPr>
        <w:t>进一步</w:t>
      </w:r>
      <w:r>
        <w:rPr>
          <w:rFonts w:hint="eastAsia" w:ascii="宋体" w:hAnsi="宋体" w:eastAsia="宋体" w:cs="宋体"/>
          <w:bCs/>
          <w:kern w:val="0"/>
          <w:szCs w:val="21"/>
        </w:rPr>
        <w:t>加强对重要、关键测量过程的识别、控制工作，使测量管理体系能够更</w:t>
      </w:r>
      <w:r>
        <w:rPr>
          <w:rFonts w:hint="eastAsia" w:ascii="宋体" w:hAnsi="宋体" w:eastAsia="宋体" w:cs="宋体"/>
          <w:bCs/>
          <w:kern w:val="0"/>
          <w:szCs w:val="21"/>
          <w:lang w:val="en-US" w:eastAsia="zh-CN"/>
        </w:rPr>
        <w:t>加有效地为公司生产经营提供保障</w:t>
      </w:r>
      <w:r>
        <w:rPr>
          <w:rFonts w:hint="eastAsia" w:ascii="宋体" w:hAnsi="宋体" w:eastAsia="宋体" w:cs="宋体"/>
          <w:bCs/>
          <w:kern w:val="0"/>
          <w:szCs w:val="21"/>
        </w:rPr>
        <w:t xml:space="preserve">。 </w:t>
      </w: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r>
        <w:rPr>
          <w:rFonts w:hint="eastAsia" w:ascii="宋体" w:hAnsi="宋体" w:cs="宋体" w:eastAsiaTheme="minorEastAsia"/>
          <w:kern w:val="0"/>
          <w:szCs w:val="21"/>
          <w:lang w:eastAsia="zh-CN"/>
        </w:rPr>
        <w:drawing>
          <wp:anchor distT="0" distB="0" distL="114300" distR="114300" simplePos="0" relativeHeight="251785216" behindDoc="0" locked="0" layoutInCell="1" allowOverlap="1">
            <wp:simplePos x="0" y="0"/>
            <wp:positionH relativeFrom="column">
              <wp:posOffset>4257675</wp:posOffset>
            </wp:positionH>
            <wp:positionV relativeFrom="paragraph">
              <wp:posOffset>218440</wp:posOffset>
            </wp:positionV>
            <wp:extent cx="780415" cy="560070"/>
            <wp:effectExtent l="0" t="0" r="6985" b="11430"/>
            <wp:wrapNone/>
            <wp:docPr id="46" name="图片 46" descr="a9be4e226f2cfd7d4154ecb42fe0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a9be4e226f2cfd7d4154ecb42fe08bf"/>
                    <pic:cNvPicPr>
                      <a:picLocks noChangeAspect="1"/>
                    </pic:cNvPicPr>
                  </pic:nvPicPr>
                  <pic:blipFill>
                    <a:blip r:embed="rId6"/>
                    <a:stretch>
                      <a:fillRect/>
                    </a:stretch>
                  </pic:blipFill>
                  <pic:spPr>
                    <a:xfrm>
                      <a:off x="0" y="0"/>
                      <a:ext cx="780415" cy="560070"/>
                    </a:xfrm>
                    <a:prstGeom prst="rect">
                      <a:avLst/>
                    </a:prstGeom>
                  </pic:spPr>
                </pic:pic>
              </a:graphicData>
            </a:graphic>
          </wp:anchor>
        </w:drawing>
      </w:r>
    </w:p>
    <w:p>
      <w:pPr>
        <w:widowControl/>
        <w:spacing w:line="276" w:lineRule="auto"/>
        <w:ind w:right="945"/>
        <w:jc w:val="right"/>
        <w:rPr>
          <w:rFonts w:ascii="宋体" w:hAnsi="宋体" w:eastAsia="宋体" w:cs="宋体"/>
          <w:kern w:val="0"/>
          <w:szCs w:val="28"/>
        </w:rPr>
      </w:pPr>
      <w:r>
        <w:rPr>
          <w:rFonts w:hint="eastAsia" w:eastAsiaTheme="minorEastAsia"/>
          <w:lang w:eastAsia="zh-CN"/>
        </w:rPr>
        <w:drawing>
          <wp:anchor distT="0" distB="0" distL="114300" distR="114300" simplePos="0" relativeHeight="251784192" behindDoc="0" locked="0" layoutInCell="1" allowOverlap="1">
            <wp:simplePos x="0" y="0"/>
            <wp:positionH relativeFrom="column">
              <wp:posOffset>3565525</wp:posOffset>
            </wp:positionH>
            <wp:positionV relativeFrom="paragraph">
              <wp:posOffset>22225</wp:posOffset>
            </wp:positionV>
            <wp:extent cx="483870" cy="616585"/>
            <wp:effectExtent l="0" t="0" r="5715" b="11430"/>
            <wp:wrapNone/>
            <wp:docPr id="44" name="图片 44" descr="55b056e222cdfbffb12cc6acce1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55b056e222cdfbffb12cc6acce12955"/>
                    <pic:cNvPicPr>
                      <a:picLocks noChangeAspect="1"/>
                    </pic:cNvPicPr>
                  </pic:nvPicPr>
                  <pic:blipFill>
                    <a:blip r:embed="rId7"/>
                    <a:stretch>
                      <a:fillRect/>
                    </a:stretch>
                  </pic:blipFill>
                  <pic:spPr>
                    <a:xfrm rot="16200000">
                      <a:off x="0" y="0"/>
                      <a:ext cx="483870" cy="616585"/>
                    </a:xfrm>
                    <a:prstGeom prst="rect">
                      <a:avLst/>
                    </a:prstGeom>
                  </pic:spPr>
                </pic:pic>
              </a:graphicData>
            </a:graphic>
          </wp:anchor>
        </w:drawing>
      </w: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538" w:firstLineChars="1685"/>
        <w:jc w:val="left"/>
        <w:rPr>
          <w:rFonts w:hint="eastAsia" w:ascii="宋体" w:hAnsi="宋体" w:eastAsia="宋体" w:cs="宋体"/>
          <w:kern w:val="0"/>
          <w:szCs w:val="28"/>
        </w:rPr>
      </w:pPr>
    </w:p>
    <w:p>
      <w:pPr>
        <w:widowControl/>
        <w:spacing w:line="276" w:lineRule="auto"/>
        <w:ind w:firstLine="3538" w:firstLineChars="1685"/>
        <w:jc w:val="left"/>
        <w:rPr>
          <w:rFonts w:hint="eastAsia" w:ascii="宋体" w:hAnsi="宋体" w:eastAsia="宋体" w:cs="宋体"/>
          <w:kern w:val="0"/>
          <w:szCs w:val="28"/>
        </w:rPr>
      </w:pPr>
    </w:p>
    <w:p>
      <w:pPr>
        <w:widowControl/>
        <w:spacing w:line="276" w:lineRule="auto"/>
        <w:ind w:firstLine="3538" w:firstLineChars="16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6"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6"/>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1E8C9"/>
    <w:multiLevelType w:val="singleLevel"/>
    <w:tmpl w:val="5C81E8C9"/>
    <w:lvl w:ilvl="0" w:tentative="0">
      <w:start w:val="6"/>
      <w:numFmt w:val="decimal"/>
      <w:lvlText w:val="%1."/>
      <w:lvlJc w:val="left"/>
      <w:pPr>
        <w:tabs>
          <w:tab w:val="left" w:pos="312"/>
        </w:tabs>
      </w:pPr>
    </w:lvl>
  </w:abstractNum>
  <w:abstractNum w:abstractNumId="1">
    <w:nsid w:val="73A06560"/>
    <w:multiLevelType w:val="singleLevel"/>
    <w:tmpl w:val="73A06560"/>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6F5A7A"/>
    <w:rsid w:val="36F518C5"/>
    <w:rsid w:val="3CFD18BD"/>
    <w:rsid w:val="66C11635"/>
    <w:rsid w:val="732A5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customStyle="1" w:styleId="9">
    <w:name w:val="表格文字"/>
    <w:basedOn w:val="1"/>
    <w:qFormat/>
    <w:uiPriority w:val="0"/>
    <w:pPr>
      <w:spacing w:before="25" w:after="25"/>
    </w:pPr>
    <w:rPr>
      <w:bCs/>
      <w:spacing w:val="10"/>
    </w:rPr>
  </w:style>
  <w:style w:type="paragraph" w:styleId="10">
    <w:name w:val="List Paragraph"/>
    <w:basedOn w:val="1"/>
    <w:unhideWhenUsed/>
    <w:qFormat/>
    <w:uiPriority w:val="99"/>
    <w:pPr>
      <w:ind w:firstLine="420" w:firstLineChars="200"/>
    </w:p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43</TotalTime>
  <ScaleCrop>false</ScaleCrop>
  <LinksUpToDate>false</LinksUpToDate>
  <CharactersWithSpaces>540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2020-07-14T06:39:00Z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