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10243-2024-EI</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48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强力家具集团有限公司</w:t>
      </w:r>
    </w:p>
    <w:p w14:paraId="575B023F">
      <w:pPr>
        <w:spacing w:line="360" w:lineRule="auto"/>
        <w:ind w:firstLine="2255" w:firstLineChars="1074"/>
      </w:pPr>
      <w:r>
        <w:rPr>
          <w:rFonts w:hint="eastAsia"/>
          <w:b/>
          <w:bCs/>
          <w:color w:val="000000"/>
        </w:rPr>
        <w:t xml:space="preserve">审核体系: </w:t>
      </w:r>
      <w:r>
        <w:rPr>
          <w:rFonts w:hint="eastAsia"/>
          <w:color w:val="00000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朱晓丽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朱晓丽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88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朱晓丽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ISC-205805-EI</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诚信管理体系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31950-2023 《企业诚信管理体系 要求》</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2025年06月04日上午至2025年06月05日下午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I:木质(实木、板式)家具、软体家具(床垫、沙发、软床)、金属家具、钢木制家具、综合类家具(含办公(含屏风)、民用、酒店、校用(含课桌椅)、公寓家具、宿舍家具、法院、银行、图书馆、公共、餐厅(含食堂)、营业厅、军队家具、医用家具(有许可要求的除外)) 的设计研发、生产和销售(含售后)服务所涉及的诚信管理活动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北京市通州区漷县镇马头村委会南600米</w:t>
      </w:r>
    </w:p>
    <w:p w14:paraId="1FCA9815">
      <w:pPr>
        <w:spacing w:line="360" w:lineRule="auto"/>
        <w:ind w:firstLine="420" w:firstLineChars="200"/>
      </w:pPr>
      <w:r>
        <w:rPr>
          <w:rFonts w:hint="eastAsia"/>
        </w:rPr>
        <w:t>办公地址：</w:t>
      </w:r>
      <w:r>
        <w:rPr>
          <w:rFonts w:hint="eastAsia"/>
        </w:rPr>
        <w:t>河北省唐山市汉沽管理区临津产业园</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河北省唐山市汉沽管理区临津产业园</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强力家具集团有限公司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111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