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0365-2022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浙江东升控股集团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