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w:t>
      </w:r>
      <w:r>
        <w:rPr>
          <w:rFonts w:hint="eastAsia" w:ascii="楷体" w:hAnsi="楷体" w:eastAsia="楷体" w:cs="Times New Roman"/>
          <w:b/>
          <w:color w:val="000000"/>
          <w:sz w:val="32"/>
          <w:szCs w:val="32"/>
        </w:rPr>
        <w:t>核方：</w:t>
      </w:r>
      <w:bookmarkStart w:id="0" w:name="组织名称"/>
      <w:r>
        <w:rPr>
          <w:rFonts w:hint="eastAsia" w:ascii="楷体" w:hAnsi="楷体" w:eastAsia="楷体" w:cs="Times New Roman"/>
          <w:b/>
          <w:color w:val="000000"/>
          <w:sz w:val="32"/>
          <w:szCs w:val="32"/>
        </w:rPr>
        <w:t>成都脉通管业有限公司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10"/>
          <w:rFonts w:ascii="楷体" w:hAnsi="楷体" w:eastAsia="楷体"/>
          <w:b/>
          <w:sz w:val="36"/>
          <w:szCs w:val="36"/>
        </w:rPr>
        <w:t>www.</w:t>
      </w:r>
      <w:r>
        <w:rPr>
          <w:rStyle w:val="10"/>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7"/>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李林</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2019-N1QMS-1242345</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ISC-242345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018" w:type="dxa"/>
            <w:vAlign w:val="center"/>
          </w:tcPr>
          <w:p>
            <w:pPr>
              <w:jc w:val="center"/>
              <w:rPr>
                <w:b/>
                <w:sz w:val="21"/>
                <w:szCs w:val="21"/>
              </w:rPr>
            </w:pPr>
            <w:r>
              <w:rPr>
                <w:b/>
                <w:sz w:val="21"/>
                <w:szCs w:val="21"/>
              </w:rPr>
              <w:t>王吴梅</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专家</w:t>
            </w:r>
          </w:p>
        </w:tc>
        <w:tc>
          <w:tcPr>
            <w:tcW w:w="1699" w:type="dxa"/>
            <w:vAlign w:val="center"/>
          </w:tcPr>
          <w:p>
            <w:pPr>
              <w:jc w:val="center"/>
              <w:rPr>
                <w:rFonts w:hint="eastAsia" w:eastAsia="宋体"/>
                <w:b/>
                <w:sz w:val="21"/>
                <w:szCs w:val="21"/>
                <w:lang w:eastAsia="zh-CN"/>
              </w:rPr>
            </w:pPr>
            <w:r>
              <w:rPr>
                <w:rFonts w:hint="eastAsia"/>
                <w:b/>
                <w:sz w:val="21"/>
                <w:szCs w:val="21"/>
                <w:lang w:val="en-US" w:eastAsia="zh-CN"/>
              </w:rPr>
              <w:t>专家</w:t>
            </w:r>
          </w:p>
        </w:tc>
        <w:tc>
          <w:tcPr>
            <w:tcW w:w="1728" w:type="dxa"/>
            <w:gridSpan w:val="2"/>
            <w:vAlign w:val="center"/>
          </w:tcPr>
          <w:p>
            <w:pPr>
              <w:jc w:val="center"/>
              <w:rPr>
                <w:b/>
                <w:sz w:val="21"/>
                <w:szCs w:val="21"/>
              </w:rPr>
            </w:pPr>
            <w:r>
              <w:rPr>
                <w:b/>
                <w:sz w:val="21"/>
                <w:szCs w:val="21"/>
              </w:rPr>
              <w:t>14.02.01</w:t>
            </w:r>
          </w:p>
        </w:tc>
        <w:tc>
          <w:tcPr>
            <w:tcW w:w="1729" w:type="dxa"/>
            <w:gridSpan w:val="2"/>
            <w:vAlign w:val="center"/>
          </w:tcPr>
          <w:p>
            <w:pPr>
              <w:jc w:val="center"/>
              <w:rPr>
                <w:b/>
                <w:sz w:val="21"/>
                <w:szCs w:val="21"/>
              </w:rPr>
            </w:pPr>
            <w:r>
              <w:rPr>
                <w:b/>
                <w:sz w:val="21"/>
                <w:szCs w:val="21"/>
              </w:rPr>
              <w:t>ISC-JSZJ-125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6" w:name="Q勾选15Add"/>
      <w:r>
        <w:rPr>
          <w:rFonts w:hint="eastAsia"/>
          <w:b/>
          <w:sz w:val="21"/>
          <w:szCs w:val="21"/>
        </w:rPr>
        <w:t>■</w:t>
      </w:r>
      <w:bookmarkEnd w:id="6"/>
      <w:r>
        <w:rPr>
          <w:rFonts w:hint="eastAsia"/>
          <w:b/>
          <w:sz w:val="21"/>
          <w:szCs w:val="21"/>
        </w:rPr>
        <w:t xml:space="preserve"> GB/T 19001:2016 idt ISO 9001:2015标准不适用条款: </w:t>
      </w:r>
      <w:r>
        <w:rPr>
          <w:rFonts w:hint="eastAsia"/>
          <w:b/>
          <w:sz w:val="21"/>
          <w:szCs w:val="21"/>
          <w:lang w:val="en-US" w:eastAsia="zh-CN"/>
        </w:rPr>
        <w:t>8.3条款</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7"/>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auto"/>
                <w:sz w:val="21"/>
              </w:rPr>
            </w:pPr>
            <w:bookmarkStart w:id="11" w:name="组织名称Add"/>
            <w:r>
              <w:rPr>
                <w:rFonts w:ascii="宋体"/>
                <w:b/>
                <w:color w:val="auto"/>
                <w:sz w:val="21"/>
              </w:rPr>
              <w:t>成都脉通管业有限公司</w:t>
            </w:r>
            <w:bookmarkEnd w:id="11"/>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color w:val="auto"/>
                <w:sz w:val="21"/>
              </w:rPr>
            </w:pPr>
            <w:bookmarkStart w:id="12" w:name="注册地址"/>
            <w:r>
              <w:rPr>
                <w:rFonts w:ascii="宋体"/>
                <w:b/>
                <w:color w:val="auto"/>
                <w:sz w:val="21"/>
              </w:rPr>
              <w:t>成都市青白江区工业集中发展区创新路</w:t>
            </w:r>
            <w:bookmarkEnd w:id="12"/>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610300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4" w:name="办公地址"/>
            <w:r>
              <w:rPr>
                <w:rFonts w:ascii="宋体"/>
                <w:b/>
                <w:sz w:val="21"/>
              </w:rPr>
              <w:t>成都市青白江区工业集中发展区创新路</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办公邮编"/>
            <w:r>
              <w:rPr>
                <w:rFonts w:ascii="宋体"/>
                <w:b/>
                <w:sz w:val="21"/>
              </w:rPr>
              <w:t>610300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6" w:name="生产地址Add"/>
            <w:r>
              <w:rPr>
                <w:rFonts w:ascii="宋体"/>
                <w:b/>
                <w:sz w:val="21"/>
              </w:rPr>
              <w:t>成都市青白江区工业集中发展区创新路</w:t>
            </w:r>
            <w:bookmarkEnd w:id="16"/>
          </w:p>
        </w:tc>
        <w:tc>
          <w:tcPr>
            <w:tcW w:w="1672" w:type="dxa"/>
            <w:vMerge w:val="continue"/>
            <w:vAlign w:val="center"/>
          </w:tcPr>
          <w:p>
            <w:pPr>
              <w:jc w:val="center"/>
              <w:rPr>
                <w:rFonts w:ascii="宋体"/>
                <w:b/>
                <w:sz w:val="21"/>
              </w:rPr>
            </w:pPr>
          </w:p>
        </w:tc>
        <w:tc>
          <w:tcPr>
            <w:tcW w:w="1500" w:type="dxa"/>
          </w:tcPr>
          <w:p>
            <w:pPr>
              <w:rPr>
                <w:rFonts w:ascii="宋体"/>
                <w:b/>
                <w:sz w:val="21"/>
              </w:rPr>
            </w:pPr>
            <w:bookmarkStart w:id="17" w:name="生产邮编"/>
            <w:r>
              <w:rPr>
                <w:rFonts w:ascii="宋体"/>
                <w:b/>
                <w:sz w:val="21"/>
              </w:rPr>
              <w:t>610300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r>
              <w:rPr>
                <w:rFonts w:ascii="宋体"/>
                <w:b/>
                <w:sz w:val="21"/>
              </w:rPr>
              <w:t>贺经理</w:t>
            </w:r>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9" w:name="联系人电话Add"/>
            <w:r>
              <w:rPr>
                <w:rFonts w:ascii="宋体"/>
                <w:b/>
                <w:sz w:val="21"/>
              </w:rPr>
              <w:t>17748491157</w:t>
            </w:r>
            <w:bookmarkEnd w:id="19"/>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1" w:name="法人"/>
            <w:r>
              <w:rPr>
                <w:rFonts w:ascii="宋体" w:hAnsi="宋体"/>
                <w:b/>
                <w:sz w:val="21"/>
                <w:szCs w:val="21"/>
              </w:rPr>
              <w:t>董定旭</w:t>
            </w:r>
            <w:bookmarkEnd w:id="21"/>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r>
              <w:rPr>
                <w:rFonts w:ascii="宋体" w:hAnsi="宋体"/>
                <w:b/>
                <w:sz w:val="21"/>
                <w:szCs w:val="21"/>
              </w:rPr>
              <w:t>董定旭</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2" w:name="管理者代表"/>
            <w:r>
              <w:rPr>
                <w:rFonts w:ascii="宋体"/>
                <w:b/>
                <w:sz w:val="21"/>
              </w:rPr>
              <w:t>张茂华</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3" w:name="审核日期"/>
            <w:r>
              <w:rPr>
                <w:rFonts w:ascii="宋体" w:hAnsi="宋体"/>
                <w:b/>
                <w:sz w:val="21"/>
                <w:szCs w:val="21"/>
              </w:rPr>
              <w:t>2020年07月13日 上午至2020年07月13日 下午</w:t>
            </w:r>
            <w:bookmarkEnd w:id="23"/>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lang w:eastAsia="zh-CN"/>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bookmarkStart w:id="25" w:name="审核范围"/>
            <w:r>
              <w:rPr>
                <w:rFonts w:hint="eastAsia" w:ascii="宋体" w:hAnsi="宋体"/>
              </w:rPr>
              <w:t>电力、通信、市政用塑料管道、绝缘材料的生产</w:t>
            </w:r>
            <w:bookmarkEnd w:id="25"/>
            <w:r>
              <w:rPr>
                <w:rFonts w:hint="eastAsia" w:ascii="宋体" w:hAnsi="宋体"/>
              </w:rPr>
              <w:t xml:space="preserve">  </w:t>
            </w:r>
          </w:p>
          <w:p>
            <w:pPr>
              <w:spacing w:line="360" w:lineRule="exact"/>
              <w:rPr>
                <w:rFonts w:ascii="宋体" w:hAnsi="宋体"/>
                <w:b/>
                <w:sz w:val="21"/>
                <w:szCs w:val="21"/>
              </w:rPr>
            </w:pPr>
            <w:bookmarkStart w:id="26" w:name="E勾选Add1"/>
            <w:r>
              <w:rPr>
                <w:rFonts w:hint="eastAsia" w:ascii="宋体" w:hAnsi="宋体"/>
                <w:b/>
                <w:sz w:val="21"/>
                <w:szCs w:val="21"/>
              </w:rPr>
              <w:t>□</w:t>
            </w:r>
            <w:bookmarkEnd w:id="26"/>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7" w:name="S勾选Add2"/>
            <w:r>
              <w:rPr>
                <w:rFonts w:hint="eastAsia" w:ascii="宋体" w:hAnsi="宋体"/>
                <w:b/>
                <w:sz w:val="21"/>
                <w:szCs w:val="21"/>
              </w:rPr>
              <w:t>□</w:t>
            </w:r>
            <w:bookmarkEnd w:id="27"/>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8" w:name="专业代码"/>
            <w:r>
              <w:rPr>
                <w:rFonts w:ascii="宋体" w:hAnsi="宋体"/>
                <w:b/>
                <w:sz w:val="21"/>
                <w:szCs w:val="21"/>
              </w:rPr>
              <w:t>14.02.01</w:t>
            </w:r>
            <w:bookmarkEnd w:id="28"/>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2021.07.30</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2019.05.25</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hint="default" w:ascii="宋体" w:hAnsi="宋体" w:eastAsia="宋体"/>
          <w:b/>
          <w:sz w:val="21"/>
          <w:szCs w:val="21"/>
          <w:lang w:val="en-US" w:eastAsia="zh-CN"/>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2019年05月25日至2020年07月13日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s="宋体"/>
                <w:color w:val="000000"/>
                <w:sz w:val="21"/>
                <w:szCs w:val="21"/>
              </w:rPr>
              <w:t>组织对内外部因素、相关方需求和期望进行了充分的识别，策划和实施有效。组织确定了体系的边界，基本适用。管理体系全条款适用。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2" w:firstLineChars="200"/>
              <w:rPr>
                <w:b/>
                <w:color w:val="000000" w:themeColor="text1"/>
                <w:sz w:val="20"/>
                <w:szCs w:val="20"/>
              </w:rPr>
            </w:pPr>
            <w:r>
              <w:rPr>
                <w:rFonts w:hint="eastAsia" w:ascii="宋体" w:hAnsi="宋体" w:cs="Times New Roman"/>
                <w:b/>
                <w:sz w:val="21"/>
                <w:szCs w:val="21"/>
              </w:rPr>
              <w:t>公</w:t>
            </w:r>
            <w:r>
              <w:rPr>
                <w:rFonts w:hint="eastAsia" w:ascii="宋体" w:hAnsi="宋体" w:cs="宋体"/>
                <w:color w:val="000000"/>
                <w:sz w:val="21"/>
                <w:szCs w:val="21"/>
              </w:rPr>
              <w:t>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1"/>
              </w:numPr>
              <w:spacing w:line="280" w:lineRule="exact"/>
              <w:rPr>
                <w:rFonts w:hint="eastAsia" w:ascii="宋体" w:hAnsi="宋体"/>
                <w:b/>
                <w:color w:val="000000" w:themeColor="text1"/>
                <w:sz w:val="20"/>
                <w:szCs w:val="20"/>
              </w:rPr>
            </w:pP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0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spacing w:line="40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管理方针：</w:t>
            </w:r>
          </w:p>
          <w:p>
            <w:pPr>
              <w:spacing w:line="400" w:lineRule="exact"/>
              <w:ind w:firstLine="315" w:firstLineChars="150"/>
              <w:rPr>
                <w:rFonts w:hint="eastAsia"/>
                <w:b/>
                <w:bCs/>
                <w:sz w:val="21"/>
                <w:szCs w:val="21"/>
                <w:lang w:val="en-US" w:eastAsia="zh-CN"/>
              </w:rPr>
            </w:pPr>
            <w:r>
              <w:rPr>
                <w:rFonts w:hint="eastAsia" w:ascii="宋体" w:hAnsi="宋体" w:cs="宋体"/>
                <w:color w:val="000000"/>
                <w:sz w:val="21"/>
                <w:szCs w:val="21"/>
              </w:rPr>
              <w:t>质量第一、降本增效、精益求精、持续改进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s="宋体"/>
                <w:color w:val="000000"/>
                <w:sz w:val="21"/>
                <w:szCs w:val="2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40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质量管理体系过程有：</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rPr>
              <w:t xml:space="preserve">电力、通信、市政用塑料管道、绝缘材料的生产 </w:t>
            </w:r>
          </w:p>
          <w:p>
            <w:pPr>
              <w:spacing w:line="400" w:lineRule="exact"/>
              <w:ind w:firstLine="315" w:firstLineChars="150"/>
              <w:rPr>
                <w:rFonts w:hint="default" w:ascii="宋体" w:hAnsi="宋体" w:cs="宋体"/>
                <w:color w:val="000000"/>
                <w:sz w:val="21"/>
                <w:szCs w:val="21"/>
                <w:lang w:val="en-US" w:eastAsia="zh-CN"/>
              </w:rPr>
            </w:pPr>
            <w:r>
              <w:rPr>
                <w:rFonts w:hint="eastAsia" w:ascii="宋体" w:hAnsi="宋体" w:cs="宋体"/>
                <w:color w:val="000000"/>
                <w:sz w:val="21"/>
                <w:szCs w:val="21"/>
              </w:rPr>
              <w:t>其中关键过程有：</w:t>
            </w:r>
            <w:r>
              <w:rPr>
                <w:rFonts w:hint="eastAsia" w:ascii="宋体" w:hAnsi="宋体" w:cs="宋体"/>
                <w:color w:val="000000"/>
                <w:sz w:val="21"/>
                <w:szCs w:val="21"/>
                <w:lang w:val="en-US" w:eastAsia="zh-CN"/>
              </w:rPr>
              <w:t>挤塑过程</w:t>
            </w:r>
          </w:p>
          <w:p>
            <w:pPr>
              <w:spacing w:line="400" w:lineRule="exact"/>
              <w:ind w:firstLine="315" w:firstLineChars="150"/>
              <w:rPr>
                <w:rFonts w:hint="eastAsia" w:ascii="宋体" w:hAnsi="宋体" w:cs="宋体"/>
                <w:color w:val="000000"/>
                <w:sz w:val="21"/>
                <w:szCs w:val="21"/>
                <w:lang w:val="en-US" w:eastAsia="zh-CN"/>
              </w:rPr>
            </w:pPr>
            <w:r>
              <w:rPr>
                <w:rFonts w:hint="eastAsia" w:ascii="宋体" w:hAnsi="宋体" w:cs="宋体"/>
                <w:color w:val="000000"/>
                <w:sz w:val="21"/>
                <w:szCs w:val="21"/>
              </w:rPr>
              <w:t>需要确认过程</w:t>
            </w:r>
            <w:r>
              <w:rPr>
                <w:rFonts w:hint="eastAsia" w:ascii="宋体" w:hAnsi="宋体" w:cs="宋体"/>
                <w:color w:val="000000"/>
                <w:sz w:val="21"/>
                <w:szCs w:val="21"/>
                <w:lang w:val="en-US" w:eastAsia="zh-CN"/>
              </w:rPr>
              <w:t>： 挤塑过程</w:t>
            </w:r>
          </w:p>
          <w:p>
            <w:pPr>
              <w:spacing w:line="400" w:lineRule="exact"/>
              <w:ind w:firstLine="315" w:firstLineChars="150"/>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外包过程：  无</w:t>
            </w:r>
          </w:p>
          <w:p>
            <w:pPr>
              <w:spacing w:line="400" w:lineRule="exact"/>
              <w:ind w:firstLine="315" w:firstLineChars="150"/>
              <w:rPr>
                <w:rFonts w:ascii="宋体" w:hAnsi="宋体"/>
                <w:b/>
                <w:color w:val="000000" w:themeColor="text1"/>
                <w:szCs w:val="21"/>
              </w:rPr>
            </w:pPr>
            <w:r>
              <w:rPr>
                <w:rFonts w:hint="eastAsia" w:ascii="宋体" w:hAnsi="宋体" w:cs="宋体"/>
                <w:color w:val="000000"/>
                <w:sz w:val="21"/>
                <w:szCs w:val="21"/>
              </w:rPr>
              <w:t>不适用条款是</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8.3条款</w:t>
            </w:r>
            <w:r>
              <w:rPr>
                <w:rFonts w:hint="eastAsia" w:ascii="宋体" w:hAnsi="宋体" w:cs="宋体"/>
                <w:color w:val="000000"/>
                <w:sz w:val="21"/>
                <w:szCs w:val="21"/>
              </w:rPr>
              <w:t xml:space="preserve">，不适用理由：  </w:t>
            </w:r>
            <w:r>
              <w:rPr>
                <w:rFonts w:hint="eastAsia" w:ascii="宋体" w:hAnsi="宋体" w:cs="宋体"/>
                <w:color w:val="000000"/>
                <w:sz w:val="21"/>
                <w:szCs w:val="21"/>
                <w:u w:val="single"/>
                <w:lang w:val="en-US" w:eastAsia="zh-CN"/>
              </w:rPr>
              <w:t>公司产品生产依据国家成熟工艺,按国家标准的生产技术要求生产,因此标准8.3条款“产品和服务的设计和开发”要求不适用。公司确保不适用的质量管理体系的产品和服务的设计和开发要求，不影响组织确保产品和服务合格以及增强顾客满意的能力或责任。</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hint="eastAsia" w:asciiTheme="minorEastAsia" w:hAnsiTheme="minorEastAsia" w:eastAsiaTheme="minorEastAsia"/>
                <w:b/>
                <w:color w:val="000000" w:themeColor="text1"/>
                <w:sz w:val="20"/>
                <w:szCs w:val="20"/>
                <w:lang w:val="en-US" w:eastAsia="zh-CN"/>
              </w:rPr>
            </w:pPr>
            <w:r>
              <w:rPr>
                <w:rFonts w:hint="eastAsia" w:asciiTheme="minorEastAsia" w:hAnsiTheme="minorEastAsia" w:eastAsiaTheme="minor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hint="default" w:ascii="宋体" w:hAnsi="宋体" w:eastAsia="宋体"/>
                <w:b/>
                <w:color w:val="000000" w:themeColor="text1"/>
                <w:spacing w:val="-8"/>
                <w:sz w:val="20"/>
                <w:szCs w:val="20"/>
                <w:lang w:val="en-US" w:eastAsia="zh-CN"/>
              </w:rPr>
            </w:pPr>
            <w:r>
              <w:rPr>
                <w:rFonts w:hint="eastAsia" w:ascii="宋体" w:hAnsi="宋体"/>
                <w:b/>
                <w:color w:val="000000" w:themeColor="text1"/>
                <w:spacing w:val="-8"/>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41" w:hangingChars="100"/>
              <w:rPr>
                <w:rFonts w:ascii="宋体" w:hAnsi="宋体"/>
                <w:b/>
                <w:color w:val="000000" w:themeColor="text1"/>
                <w:szCs w:val="21"/>
              </w:rPr>
            </w:pPr>
          </w:p>
          <w:p>
            <w:pPr>
              <w:pStyle w:val="15"/>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104" w:hangingChars="43"/>
              <w:rPr>
                <w:rFonts w:ascii="宋体" w:hAnsi="宋体"/>
                <w:b/>
                <w:color w:val="000000" w:themeColor="text1"/>
                <w:szCs w:val="21"/>
                <w:u w:val="single"/>
              </w:rPr>
            </w:pPr>
          </w:p>
          <w:p>
            <w:pPr>
              <w:pStyle w:val="15"/>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5"/>
              <w:numPr>
                <w:ilvl w:val="0"/>
                <w:numId w:val="2"/>
              </w:numPr>
              <w:tabs>
                <w:tab w:val="left" w:pos="540"/>
              </w:tabs>
              <w:spacing w:line="300" w:lineRule="exact"/>
              <w:ind w:firstLineChars="0"/>
              <w:rPr>
                <w:rFonts w:hint="eastAsia" w:ascii="宋体" w:hAnsi="宋体"/>
                <w:b/>
                <w:color w:val="000000" w:themeColor="text1"/>
                <w:szCs w:val="21"/>
              </w:rPr>
            </w:pPr>
            <w:r>
              <w:rPr>
                <w:rFonts w:hint="eastAsia" w:ascii="宋体" w:hAnsi="宋体"/>
                <w:b/>
                <w:color w:val="000000" w:themeColor="text1"/>
                <w:szCs w:val="21"/>
              </w:rPr>
              <w:t>法律法规的宣传方式：培训、会议、张贴。</w:t>
            </w:r>
          </w:p>
          <w:p>
            <w:pPr>
              <w:pStyle w:val="15"/>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40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40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质量目标：</w:t>
            </w:r>
          </w:p>
          <w:p>
            <w:pPr>
              <w:spacing w:line="400" w:lineRule="exact"/>
              <w:ind w:firstLine="315" w:firstLineChars="150"/>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1、</w:t>
            </w:r>
            <w:r>
              <w:rPr>
                <w:rFonts w:hint="eastAsia" w:ascii="宋体" w:hAnsi="宋体" w:cs="宋体"/>
                <w:color w:val="000000"/>
                <w:sz w:val="21"/>
                <w:szCs w:val="21"/>
              </w:rPr>
              <w:t>生产合格率达到100%</w:t>
            </w:r>
            <w:r>
              <w:rPr>
                <w:rFonts w:hint="eastAsia" w:ascii="宋体" w:hAnsi="宋体" w:cs="宋体"/>
                <w:color w:val="000000"/>
                <w:sz w:val="21"/>
                <w:szCs w:val="21"/>
                <w:lang w:val="en-US" w:eastAsia="zh-CN"/>
              </w:rPr>
              <w:t xml:space="preserve"> </w:t>
            </w:r>
          </w:p>
          <w:p>
            <w:pPr>
              <w:spacing w:line="400" w:lineRule="exact"/>
              <w:ind w:firstLine="315" w:firstLineChars="150"/>
              <w:rPr>
                <w:rFonts w:ascii="宋体" w:hAnsi="宋体"/>
                <w:b/>
                <w:color w:val="000000" w:themeColor="text1"/>
              </w:rPr>
            </w:pPr>
            <w:r>
              <w:rPr>
                <w:rFonts w:hint="eastAsia" w:ascii="宋体" w:hAnsi="宋体" w:cs="宋体"/>
                <w:color w:val="000000"/>
                <w:sz w:val="21"/>
                <w:szCs w:val="21"/>
                <w:lang w:val="en-US" w:eastAsia="zh-CN"/>
              </w:rPr>
              <w:t>2、</w:t>
            </w:r>
            <w:r>
              <w:rPr>
                <w:rFonts w:hint="eastAsia" w:ascii="宋体" w:hAnsi="宋体" w:cs="宋体"/>
                <w:color w:val="000000"/>
                <w:sz w:val="21"/>
                <w:szCs w:val="21"/>
              </w:rPr>
              <w:t>顾客满意度≥95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sz w:val="21"/>
                <w:szCs w:val="21"/>
              </w:rPr>
              <w:t>公司按照申请认证的标准要求，建立并形成了文件化的</w:t>
            </w:r>
            <w:r>
              <w:rPr>
                <w:rFonts w:hint="eastAsia" w:ascii="宋体" w:hAnsi="宋体" w:cs="宋体"/>
                <w:color w:val="000000"/>
                <w:sz w:val="21"/>
                <w:szCs w:val="21"/>
                <w:lang w:eastAsia="zh-CN"/>
              </w:rPr>
              <w:t>质量管理</w:t>
            </w:r>
            <w:r>
              <w:rPr>
                <w:rFonts w:hint="eastAsia" w:ascii="宋体" w:hAnsi="宋体" w:cs="宋体"/>
                <w:color w:val="000000"/>
                <w:sz w:val="21"/>
                <w:szCs w:val="21"/>
              </w:rPr>
              <w:t>体系</w:t>
            </w:r>
            <w:r>
              <w:rPr>
                <w:rFonts w:hint="eastAsia" w:ascii="宋体" w:hAnsi="宋体" w:cs="宋体"/>
                <w:color w:val="000000"/>
                <w:sz w:val="21"/>
                <w:szCs w:val="21"/>
                <w:lang w:eastAsia="zh-CN"/>
              </w:rPr>
              <w:t>文件</w:t>
            </w:r>
            <w:r>
              <w:rPr>
                <w:rFonts w:hint="eastAsia" w:ascii="宋体" w:hAnsi="宋体" w:cs="宋体"/>
                <w:color w:val="000000"/>
                <w:sz w:val="21"/>
                <w:szCs w:val="21"/>
              </w:rPr>
              <w:t>，体系文件对管理体系各过程进行了识别确定、明确了各要素间的相互关系及其管控要求。公司体系文件于20</w:t>
            </w:r>
            <w:r>
              <w:rPr>
                <w:rFonts w:hint="eastAsia" w:ascii="宋体" w:hAnsi="宋体" w:cs="宋体"/>
                <w:color w:val="000000"/>
                <w:sz w:val="21"/>
                <w:szCs w:val="21"/>
                <w:lang w:val="en-US" w:eastAsia="zh-CN"/>
              </w:rPr>
              <w:t>18</w:t>
            </w:r>
            <w:r>
              <w:rPr>
                <w:rFonts w:hint="eastAsia" w:ascii="宋体" w:hAnsi="宋体" w:cs="宋体"/>
                <w:color w:val="000000"/>
                <w:sz w:val="21"/>
                <w:szCs w:val="21"/>
              </w:rPr>
              <w:t>年</w:t>
            </w:r>
            <w:r>
              <w:rPr>
                <w:rFonts w:hint="eastAsia" w:ascii="宋体" w:hAnsi="宋体" w:cs="宋体"/>
                <w:color w:val="000000"/>
                <w:sz w:val="21"/>
                <w:szCs w:val="21"/>
                <w:lang w:val="en-US" w:eastAsia="zh-CN"/>
              </w:rPr>
              <w:t>1</w:t>
            </w:r>
            <w:r>
              <w:rPr>
                <w:rFonts w:hint="eastAsia" w:ascii="宋体" w:hAnsi="宋体" w:cs="宋体"/>
                <w:color w:val="000000"/>
                <w:sz w:val="21"/>
                <w:szCs w:val="21"/>
              </w:rPr>
              <w:t>月</w:t>
            </w:r>
            <w:r>
              <w:rPr>
                <w:rFonts w:hint="eastAsia" w:ascii="宋体" w:hAnsi="宋体" w:cs="宋体"/>
                <w:color w:val="000000"/>
                <w:sz w:val="21"/>
                <w:szCs w:val="21"/>
                <w:lang w:val="en-US" w:eastAsia="zh-CN"/>
              </w:rPr>
              <w:t>7</w:t>
            </w:r>
            <w:r>
              <w:rPr>
                <w:rFonts w:hint="eastAsia" w:ascii="宋体" w:hAnsi="宋体" w:cs="宋体"/>
                <w:color w:val="000000"/>
                <w:sz w:val="21"/>
                <w:szCs w:val="2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40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组织按管理体系需求配置了充足的人员、设施、监视和测量设备等资源，并建立维持了</w:t>
            </w:r>
            <w:r>
              <w:rPr>
                <w:rFonts w:hint="eastAsia" w:ascii="宋体" w:hAnsi="宋体" w:cs="宋体"/>
                <w:color w:val="000000"/>
                <w:sz w:val="21"/>
                <w:szCs w:val="21"/>
                <w:lang w:eastAsia="zh-CN"/>
              </w:rPr>
              <w:t>产品</w:t>
            </w:r>
            <w:r>
              <w:rPr>
                <w:rFonts w:hint="eastAsia" w:ascii="宋体" w:hAnsi="宋体" w:cs="宋体"/>
                <w:color w:val="000000"/>
                <w:sz w:val="21"/>
                <w:szCs w:val="21"/>
              </w:rPr>
              <w:t>的生产及相关服务运行环境，可以维持管理体系的正常运行。</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 w:val="21"/>
                <w:szCs w:val="21"/>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300" w:lineRule="exact"/>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rPr>
              <w:t>设备设施（包括信息系统）</w:t>
            </w:r>
            <w:r>
              <w:rPr>
                <w:rFonts w:hint="eastAsia" w:ascii="宋体" w:hAnsi="宋体"/>
                <w:b/>
                <w:color w:val="000000" w:themeColor="text1"/>
                <w:sz w:val="20"/>
                <w:szCs w:val="20"/>
                <w:lang w:eastAsia="zh-CN"/>
              </w:rPr>
              <w:t>：</w:t>
            </w:r>
          </w:p>
          <w:p>
            <w:pPr>
              <w:tabs>
                <w:tab w:val="left" w:pos="2552"/>
              </w:tabs>
              <w:spacing w:line="0" w:lineRule="atLeast"/>
              <w:ind w:firstLine="420" w:firstLineChars="200"/>
              <w:rPr>
                <w:rFonts w:ascii="宋体" w:hAnsi="宋体"/>
                <w:b/>
                <w:color w:val="000000" w:themeColor="text1"/>
                <w:sz w:val="20"/>
                <w:szCs w:val="20"/>
                <w:highlight w:val="none"/>
              </w:rPr>
            </w:pPr>
            <w:r>
              <w:rPr>
                <w:rFonts w:hint="eastAsia" w:ascii="宋体" w:hAnsi="宋体" w:cs="宋体"/>
                <w:color w:val="000000"/>
                <w:sz w:val="21"/>
                <w:szCs w:val="21"/>
              </w:rPr>
              <w:t xml:space="preserve"> 厂房面积1500平方米左右，库房1000平方米左右，办公场所面积200平方米左右.主要生产设备包括：挤塑生产线、塑料波纹管生产线、混料机</w:t>
            </w:r>
            <w:r>
              <w:rPr>
                <w:rFonts w:hint="eastAsia" w:ascii="宋体" w:hAnsi="宋体" w:cs="宋体"/>
                <w:color w:val="000000"/>
                <w:sz w:val="21"/>
                <w:szCs w:val="21"/>
                <w:lang w:eastAsia="zh-CN"/>
              </w:rPr>
              <w:t>、250PE无屑切割机、喷码机</w:t>
            </w:r>
            <w:r>
              <w:rPr>
                <w:rFonts w:hint="eastAsia" w:ascii="宋体" w:hAnsi="宋体" w:cs="宋体"/>
                <w:color w:val="000000"/>
                <w:sz w:val="21"/>
                <w:szCs w:val="21"/>
              </w:rPr>
              <w:t>等</w:t>
            </w:r>
            <w:r>
              <w:rPr>
                <w:rFonts w:hint="eastAsia" w:ascii="宋体" w:hAnsi="宋体" w:cs="宋体"/>
                <w:color w:val="000000"/>
                <w:sz w:val="21"/>
                <w:szCs w:val="21"/>
                <w:lang w:val="en-US" w:eastAsia="zh-CN"/>
              </w:rPr>
              <w:t>40余套</w:t>
            </w:r>
            <w:r>
              <w:rPr>
                <w:rFonts w:hint="eastAsia" w:ascii="宋体" w:hAnsi="宋体" w:cs="宋体"/>
                <w:color w:val="000000"/>
                <w:sz w:val="21"/>
                <w:szCs w:val="21"/>
              </w:rPr>
              <w:t>，可以满足生产需要。生产技术部对设备按月方式进行点检维护保养，并实施。特种设备：</w:t>
            </w:r>
            <w:r>
              <w:rPr>
                <w:rFonts w:hint="eastAsia" w:ascii="宋体" w:hAnsi="宋体" w:cs="宋体"/>
                <w:color w:val="000000"/>
                <w:sz w:val="21"/>
                <w:szCs w:val="21"/>
                <w:lang w:val="en-US" w:eastAsia="zh-CN"/>
              </w:rPr>
              <w:t>储气罐</w:t>
            </w:r>
            <w:r>
              <w:rPr>
                <w:rFonts w:hint="eastAsia" w:ascii="宋体" w:hAnsi="宋体" w:cs="宋体"/>
                <w:color w:val="000000"/>
                <w:sz w:val="21"/>
                <w:szCs w:val="21"/>
              </w:rPr>
              <w:t>。产品运输交</w:t>
            </w:r>
            <w:r>
              <w:rPr>
                <w:rFonts w:hint="eastAsia" w:ascii="宋体" w:hAnsi="宋体" w:eastAsia="宋体" w:cs="宋体"/>
                <w:color w:val="000000"/>
                <w:sz w:val="21"/>
                <w:szCs w:val="21"/>
              </w:rPr>
              <w:t>由物流公司进行，公司未</w:t>
            </w:r>
            <w:bookmarkStart w:id="29" w:name="_GoBack"/>
            <w:bookmarkEnd w:id="29"/>
            <w:r>
              <w:rPr>
                <w:rFonts w:hint="eastAsia" w:ascii="宋体" w:hAnsi="宋体" w:eastAsia="宋体" w:cs="宋体"/>
                <w:color w:val="000000"/>
                <w:sz w:val="21"/>
                <w:szCs w:val="21"/>
              </w:rPr>
              <w:t>建立信息管理系统用于生产和服务。</w:t>
            </w:r>
            <w:r>
              <w:rPr>
                <w:rFonts w:hint="eastAsia" w:ascii="宋体" w:hAnsi="宋体" w:eastAsia="宋体" w:cs="宋体"/>
                <w:color w:val="000000"/>
                <w:sz w:val="21"/>
                <w:szCs w:val="21"/>
                <w:lang w:val="en-US" w:eastAsia="zh-CN"/>
              </w:rPr>
              <w:t>经负责介绍为响应当地政府号召，公司与四川鑫森管业有限公司为同一股东，共用生产车间、设备、计量器具等。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color w:val="000000"/>
                <w:sz w:val="21"/>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ascii="宋体" w:hAnsi="宋体" w:cs="宋体"/>
                <w:color w:val="000000"/>
                <w:szCs w:val="21"/>
                <w:highlight w:val="none"/>
              </w:rPr>
            </w:pPr>
            <w:r>
              <w:rPr>
                <w:rFonts w:hint="eastAsia" w:ascii="宋体" w:hAnsi="宋体"/>
                <w:b/>
                <w:color w:val="000000" w:themeColor="text1"/>
                <w:sz w:val="20"/>
                <w:szCs w:val="20"/>
                <w:highlight w:val="none"/>
              </w:rPr>
              <w:t>监视和测量资源</w:t>
            </w:r>
          </w:p>
          <w:p>
            <w:pPr>
              <w:spacing w:line="240" w:lineRule="exact"/>
              <w:ind w:firstLine="420" w:firstLineChars="200"/>
              <w:rPr>
                <w:rFonts w:ascii="宋体" w:hAnsi="宋体"/>
                <w:b/>
                <w:color w:val="000000" w:themeColor="text1"/>
                <w:sz w:val="20"/>
                <w:szCs w:val="20"/>
                <w:highlight w:val="none"/>
              </w:rPr>
            </w:pPr>
            <w:r>
              <w:rPr>
                <w:rFonts w:hint="eastAsia" w:ascii="宋体" w:hAnsi="宋体" w:cs="宋体"/>
                <w:color w:val="000000"/>
                <w:sz w:val="21"/>
                <w:szCs w:val="21"/>
              </w:rPr>
              <w:t>生产车间及检验部门均按策划的要求配置了相应的检测设备，均采用委外送检的方式。抽在用检具的检定或校准证书能提供在用检具的有效检定或校准证据。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color w:val="000000"/>
                <w:sz w:val="21"/>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tabs>
                <w:tab w:val="left" w:pos="540"/>
              </w:tabs>
              <w:spacing w:line="240" w:lineRule="exact"/>
              <w:ind w:firstLine="402" w:firstLineChars="200"/>
              <w:rPr>
                <w:rFonts w:hint="eastAsia" w:ascii="宋体" w:hAnsi="宋体" w:cs="Times New Roman"/>
                <w:b/>
                <w:color w:val="000000" w:themeColor="text1"/>
                <w:spacing w:val="-4"/>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Times New Roman"/>
                <w:b/>
                <w:color w:val="000000" w:themeColor="text1"/>
                <w:spacing w:val="-4"/>
                <w:sz w:val="20"/>
                <w:szCs w:val="20"/>
              </w:rPr>
              <w:t>在公司内部主要采用电话、会议、面谈等形式就与产品质量、服务有关问题及与质量管理体系有关问题进行沟通，未发生由于沟通不到位而影响工作的情况。</w:t>
            </w:r>
          </w:p>
          <w:p>
            <w:pPr>
              <w:tabs>
                <w:tab w:val="left" w:pos="540"/>
              </w:tabs>
              <w:spacing w:line="240" w:lineRule="exact"/>
              <w:ind w:firstLine="386" w:firstLineChars="200"/>
              <w:rPr>
                <w:rFonts w:hint="eastAsia" w:ascii="宋体" w:hAnsi="宋体" w:cs="Times New Roman"/>
                <w:b/>
                <w:color w:val="000000" w:themeColor="text1"/>
                <w:spacing w:val="-4"/>
                <w:sz w:val="20"/>
                <w:szCs w:val="20"/>
              </w:rPr>
            </w:pPr>
            <w:r>
              <w:rPr>
                <w:rFonts w:hint="eastAsia" w:ascii="宋体" w:hAnsi="宋体" w:cs="Times New Roman"/>
                <w:b/>
                <w:color w:val="000000" w:themeColor="text1"/>
                <w:spacing w:val="-4"/>
                <w:sz w:val="20"/>
                <w:szCs w:val="20"/>
              </w:rPr>
              <w:t>内部沟通的效果：良好</w:t>
            </w:r>
          </w:p>
          <w:p>
            <w:pPr>
              <w:spacing w:line="240" w:lineRule="exact"/>
              <w:rPr>
                <w:rFonts w:ascii="楷体_GB2312" w:eastAsia="楷体_GB2312"/>
                <w:b/>
                <w:color w:val="000000" w:themeColor="text1"/>
                <w:sz w:val="20"/>
                <w:szCs w:val="20"/>
              </w:rPr>
            </w:pPr>
          </w:p>
          <w:p>
            <w:pPr>
              <w:spacing w:line="240" w:lineRule="exact"/>
              <w:rPr>
                <w:rFonts w:hint="eastAsia"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Times New Roman"/>
                <w:b/>
                <w:color w:val="000000" w:themeColor="text1"/>
                <w:spacing w:val="-4"/>
                <w:sz w:val="20"/>
                <w:szCs w:val="20"/>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201"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 w:val="21"/>
                <w:szCs w:val="21"/>
              </w:rPr>
              <w:t xml:space="preserve">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6"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40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400" w:lineRule="exact"/>
              <w:ind w:firstLine="315" w:firstLineChars="150"/>
              <w:rPr>
                <w:b/>
                <w:color w:val="000000" w:themeColor="text1"/>
                <w:sz w:val="20"/>
                <w:szCs w:val="20"/>
              </w:rPr>
            </w:pPr>
            <w:r>
              <w:rPr>
                <w:rFonts w:hint="eastAsia" w:ascii="宋体" w:hAnsi="宋体" w:cs="宋体"/>
                <w:color w:val="000000"/>
                <w:sz w:val="21"/>
                <w:szCs w:val="21"/>
              </w:rPr>
              <w:t>(应说明相关证据)：验收规范、验收</w:t>
            </w:r>
            <w:r>
              <w:rPr>
                <w:rFonts w:hint="eastAsia" w:ascii="宋体" w:hAnsi="宋体" w:cs="宋体"/>
                <w:color w:val="000000"/>
                <w:sz w:val="21"/>
                <w:szCs w:val="21"/>
                <w:lang w:eastAsia="zh-CN"/>
              </w:rPr>
              <w:t>记录</w:t>
            </w:r>
            <w:r>
              <w:rPr>
                <w:rFonts w:hint="eastAsia" w:ascii="宋体" w:hAnsi="宋体" w:cs="宋体"/>
                <w:color w:val="000000"/>
                <w:sz w:val="21"/>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400" w:lineRule="exact"/>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提供MPP单壁波纹管、MPP双壁波纹管检验报告</w:t>
            </w:r>
          </w:p>
          <w:p>
            <w:pPr>
              <w:spacing w:line="400" w:lineRule="exact"/>
              <w:rPr>
                <w:rFonts w:hint="default" w:eastAsia="宋体"/>
                <w:b/>
                <w:color w:val="000000" w:themeColor="text1"/>
                <w:sz w:val="20"/>
                <w:szCs w:val="20"/>
                <w:lang w:val="en-US" w:eastAsia="zh-CN"/>
              </w:rPr>
            </w:pPr>
            <w:r>
              <w:rPr>
                <w:rFonts w:hint="eastAsia" w:ascii="宋体" w:hAnsi="宋体" w:cs="宋体"/>
                <w:color w:val="000000"/>
                <w:sz w:val="21"/>
                <w:szCs w:val="21"/>
                <w:highlight w:val="none"/>
              </w:rPr>
              <w:t>（附相关证据）：</w:t>
            </w:r>
            <w:r>
              <w:rPr>
                <w:rFonts w:hint="eastAsia" w:ascii="宋体" w:hAnsi="宋体" w:cs="宋体"/>
                <w:color w:val="000000"/>
                <w:sz w:val="21"/>
                <w:szCs w:val="21"/>
                <w:highlight w:val="none"/>
                <w:lang w:val="en-US" w:eastAsia="zh-CN"/>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highlight w:val="none"/>
              </w:rPr>
            </w:pPr>
            <w:r>
              <w:rPr>
                <w:rFonts w:hint="eastAsia"/>
                <w:b/>
                <w:color w:val="000000" w:themeColor="text1"/>
                <w:sz w:val="20"/>
                <w:szCs w:val="20"/>
                <w:highlight w:val="none"/>
              </w:rPr>
              <w:t xml:space="preserve">9. 应急准备与相应活动的演练及对预案可行性的评价(当有规定时) </w:t>
            </w:r>
          </w:p>
          <w:p>
            <w:pPr>
              <w:spacing w:line="240" w:lineRule="exact"/>
              <w:rPr>
                <w:rFonts w:hint="eastAsia" w:asciiTheme="minorEastAsia" w:hAnsiTheme="minorEastAsia" w:eastAsiaTheme="minorEastAsia"/>
                <w:b/>
                <w:color w:val="000000" w:themeColor="text1"/>
                <w:spacing w:val="-4"/>
                <w:sz w:val="20"/>
                <w:szCs w:val="20"/>
                <w:highlight w:val="none"/>
                <w:lang w:val="en-US" w:eastAsia="zh-CN"/>
              </w:rPr>
            </w:pPr>
            <w:r>
              <w:rPr>
                <w:rFonts w:hint="eastAsia" w:asciiTheme="minorEastAsia" w:hAnsiTheme="minorEastAsia" w:eastAsiaTheme="minorEastAsia"/>
                <w:b/>
                <w:color w:val="000000" w:themeColor="text1"/>
                <w:spacing w:val="-4"/>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 xml:space="preserve">10. 对特种设备的维护; </w:t>
            </w:r>
            <w:r>
              <w:rPr>
                <w:rFonts w:hint="eastAsia"/>
                <w:b/>
                <w:sz w:val="20"/>
                <w:szCs w:val="20"/>
                <w:highlight w:val="none"/>
              </w:rPr>
              <w:t>（适用时）</w:t>
            </w:r>
          </w:p>
          <w:p>
            <w:pPr>
              <w:ind w:left="240" w:leftChars="100" w:firstLine="100" w:firstLineChars="50"/>
              <w:jc w:val="left"/>
              <w:rPr>
                <w:rFonts w:hint="default" w:eastAsia="宋体"/>
                <w:b/>
                <w:color w:val="000000" w:themeColor="text1"/>
                <w:sz w:val="20"/>
                <w:szCs w:val="20"/>
                <w:highlight w:val="none"/>
                <w:lang w:val="en-US" w:eastAsia="zh-CN"/>
              </w:rPr>
            </w:pPr>
            <w:r>
              <w:rPr>
                <w:rFonts w:hint="eastAsia"/>
                <w:b/>
                <w:sz w:val="20"/>
                <w:szCs w:val="20"/>
                <w:highlight w:val="none"/>
              </w:rPr>
              <w:t>特种设备</w:t>
            </w:r>
            <w:r>
              <w:rPr>
                <w:rFonts w:hint="eastAsia"/>
                <w:b/>
                <w:sz w:val="20"/>
                <w:szCs w:val="20"/>
                <w:highlight w:val="none"/>
                <w:lang w:eastAsia="zh-CN"/>
              </w:rPr>
              <w:t>：</w:t>
            </w:r>
            <w:r>
              <w:rPr>
                <w:rFonts w:hint="eastAsia"/>
                <w:b/>
                <w:sz w:val="20"/>
                <w:szCs w:val="20"/>
                <w:highlight w:val="none"/>
                <w:lang w:val="en-US" w:eastAsia="zh-CN"/>
              </w:rPr>
              <w:t>储气罐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rFonts w:hint="eastAsia" w:eastAsia="宋体"/>
                <w:color w:val="FF0000"/>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highlight w:val="none"/>
              </w:rPr>
            </w:pPr>
            <w:r>
              <w:rPr>
                <w:rFonts w:hint="eastAsia"/>
                <w:b/>
                <w:color w:val="000000" w:themeColor="text1"/>
                <w:sz w:val="20"/>
                <w:szCs w:val="20"/>
                <w:highlight w:val="none"/>
              </w:rPr>
              <w:t>1. .对质量/环境/职业健康安全目标指标进行定期监测/检查情况</w:t>
            </w:r>
            <w:r>
              <w:rPr>
                <w:rFonts w:hint="eastAsia"/>
                <w:b/>
                <w:sz w:val="20"/>
                <w:szCs w:val="20"/>
                <w:highlight w:val="none"/>
              </w:rPr>
              <w:t>（适用时）</w:t>
            </w:r>
          </w:p>
          <w:p>
            <w:pPr>
              <w:spacing w:line="240" w:lineRule="exact"/>
              <w:ind w:firstLine="525" w:firstLineChars="250"/>
              <w:rPr>
                <w:b/>
                <w:color w:val="000000" w:themeColor="text1"/>
                <w:sz w:val="20"/>
                <w:szCs w:val="20"/>
                <w:highlight w:val="none"/>
              </w:rPr>
            </w:pPr>
            <w:r>
              <w:rPr>
                <w:rFonts w:hint="eastAsia" w:ascii="宋体" w:hAnsi="宋体" w:cs="宋体"/>
                <w:color w:val="000000"/>
                <w:sz w:val="21"/>
                <w:szCs w:val="21"/>
                <w:lang w:eastAsia="zh-CN"/>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sz w:val="21"/>
                <w:szCs w:val="21"/>
                <w:lang w:val="en-US" w:eastAsia="zh-CN"/>
              </w:rPr>
              <w:t>20</w:t>
            </w:r>
            <w:r>
              <w:rPr>
                <w:rFonts w:hint="eastAsia" w:ascii="宋体" w:hAnsi="宋体" w:cs="宋体"/>
                <w:color w:val="000000"/>
                <w:sz w:val="21"/>
                <w:szCs w:val="21"/>
                <w:lang w:eastAsia="zh-CN"/>
              </w:rPr>
              <w:t>年</w:t>
            </w:r>
            <w:r>
              <w:rPr>
                <w:rFonts w:hint="eastAsia" w:ascii="宋体" w:hAnsi="宋体" w:cs="宋体"/>
                <w:color w:val="000000"/>
                <w:sz w:val="21"/>
                <w:szCs w:val="21"/>
                <w:lang w:val="en-US" w:eastAsia="zh-CN"/>
              </w:rPr>
              <w:t>1</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6</w:t>
            </w:r>
            <w:r>
              <w:rPr>
                <w:rFonts w:hint="eastAsia" w:ascii="宋体" w:hAnsi="宋体" w:cs="宋体"/>
                <w:color w:val="000000"/>
                <w:sz w:val="21"/>
                <w:szCs w:val="21"/>
                <w:lang w:eastAsia="zh-CN"/>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rFonts w:hint="eastAsia"/>
                <w:b/>
                <w:color w:val="000000" w:themeColor="text1"/>
                <w:sz w:val="20"/>
                <w:szCs w:val="20"/>
                <w:highlight w:val="none"/>
              </w:rPr>
            </w:pPr>
            <w:r>
              <w:rPr>
                <w:rFonts w:hint="eastAsia"/>
                <w:b/>
                <w:color w:val="000000" w:themeColor="text1"/>
                <w:sz w:val="20"/>
                <w:szCs w:val="20"/>
                <w:highlight w:val="none"/>
              </w:rPr>
              <w:t>2.顾客满意</w:t>
            </w:r>
          </w:p>
          <w:p>
            <w:pPr>
              <w:spacing w:line="240" w:lineRule="exact"/>
              <w:ind w:left="120" w:leftChars="50" w:firstLine="315" w:firstLineChars="150"/>
              <w:rPr>
                <w:b/>
                <w:color w:val="000000" w:themeColor="text1"/>
                <w:sz w:val="20"/>
                <w:szCs w:val="20"/>
                <w:highlight w:val="none"/>
              </w:rPr>
            </w:pPr>
            <w:r>
              <w:rPr>
                <w:rFonts w:hint="eastAsia" w:ascii="宋体" w:hAnsi="宋体" w:cs="宋体"/>
                <w:color w:val="000000"/>
                <w:sz w:val="21"/>
                <w:szCs w:val="21"/>
                <w:lang w:eastAsia="zh-CN"/>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color w:val="000000"/>
                <w:sz w:val="21"/>
                <w:szCs w:val="21"/>
                <w:lang w:val="en-US" w:eastAsia="zh-CN"/>
              </w:rPr>
              <w:t>20</w:t>
            </w:r>
            <w:r>
              <w:rPr>
                <w:rFonts w:hint="eastAsia" w:ascii="宋体" w:hAnsi="宋体" w:cs="宋体"/>
                <w:color w:val="000000"/>
                <w:sz w:val="21"/>
                <w:szCs w:val="21"/>
                <w:lang w:eastAsia="zh-CN"/>
              </w:rPr>
              <w:t>年</w:t>
            </w:r>
            <w:r>
              <w:rPr>
                <w:rFonts w:hint="eastAsia" w:ascii="宋体" w:hAnsi="宋体" w:cs="宋体"/>
                <w:color w:val="000000"/>
                <w:sz w:val="21"/>
                <w:szCs w:val="21"/>
                <w:lang w:val="en-US" w:eastAsia="zh-CN"/>
              </w:rPr>
              <w:t>5</w:t>
            </w:r>
            <w:r>
              <w:rPr>
                <w:rFonts w:hint="eastAsia" w:ascii="宋体" w:hAnsi="宋体" w:cs="宋体"/>
                <w:color w:val="000000"/>
                <w:sz w:val="21"/>
                <w:szCs w:val="21"/>
                <w:lang w:eastAsia="zh-CN"/>
              </w:rPr>
              <w:t>月实施，满意度评价</w:t>
            </w:r>
            <w:r>
              <w:rPr>
                <w:rFonts w:hint="eastAsia" w:ascii="宋体" w:hAnsi="宋体" w:cs="宋体"/>
                <w:color w:val="000000"/>
                <w:sz w:val="21"/>
                <w:szCs w:val="21"/>
                <w:lang w:val="en-US" w:eastAsia="zh-CN"/>
              </w:rPr>
              <w:t>99%</w:t>
            </w:r>
            <w:r>
              <w:rPr>
                <w:rFonts w:hint="eastAsia" w:ascii="宋体" w:hAnsi="宋体" w:cs="宋体"/>
                <w:color w:val="000000"/>
                <w:sz w:val="21"/>
                <w:szCs w:val="21"/>
                <w:lang w:eastAsia="zh-CN"/>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5"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ind w:left="120" w:leftChars="50" w:firstLine="301" w:firstLineChars="150"/>
              <w:rPr>
                <w:rFonts w:hint="eastAsia" w:ascii="宋体" w:hAnsi="宋体" w:cs="宋体"/>
                <w:color w:val="000000"/>
                <w:szCs w:val="21"/>
                <w:highlight w:val="none"/>
              </w:rPr>
            </w:pPr>
            <w:r>
              <w:rPr>
                <w:rFonts w:hint="eastAsia"/>
                <w:b/>
                <w:color w:val="000000" w:themeColor="text1"/>
                <w:sz w:val="20"/>
                <w:szCs w:val="20"/>
              </w:rPr>
              <w:t>3. 内审（包括内审策划审核方案中</w:t>
            </w:r>
            <w:r>
              <w:rPr>
                <w:rFonts w:hint="eastAsia" w:ascii="Times New Roman" w:hAnsi="Times New Roman" w:eastAsia="宋体" w:cs="Times New Roman"/>
                <w:b/>
                <w:color w:val="000000" w:themeColor="text1"/>
                <w:sz w:val="20"/>
                <w:szCs w:val="20"/>
              </w:rPr>
              <w:t>考虑拟审核的过程和区域的状况和重要性）</w:t>
            </w:r>
          </w:p>
          <w:p>
            <w:pPr>
              <w:spacing w:line="400" w:lineRule="exact"/>
              <w:ind w:firstLine="315" w:firstLineChars="150"/>
              <w:rPr>
                <w:rFonts w:hint="eastAsia" w:ascii="宋体" w:hAnsi="宋体" w:cs="宋体"/>
                <w:color w:val="000000"/>
                <w:szCs w:val="21"/>
                <w:highlight w:val="none"/>
              </w:rPr>
            </w:pPr>
            <w:r>
              <w:rPr>
                <w:rFonts w:hint="eastAsia" w:ascii="宋体" w:hAnsi="宋体" w:cs="宋体"/>
                <w:color w:val="000000"/>
                <w:sz w:val="21"/>
                <w:szCs w:val="21"/>
                <w:lang w:eastAsia="zh-CN"/>
              </w:rPr>
              <w:t>建立有《内部审核控制程序》，规定了内审频次一年一次，内审时间：</w:t>
            </w:r>
            <w:r>
              <w:rPr>
                <w:rFonts w:hint="eastAsia" w:ascii="宋体" w:hAnsi="宋体" w:cs="宋体"/>
                <w:sz w:val="21"/>
                <w:szCs w:val="21"/>
                <w:lang w:val="en-US" w:eastAsia="zh-CN"/>
              </w:rPr>
              <w:t>2020年06月04日</w:t>
            </w:r>
            <w:r>
              <w:rPr>
                <w:rFonts w:hint="eastAsia" w:ascii="宋体" w:hAnsi="宋体" w:cs="宋体"/>
                <w:color w:val="000000"/>
                <w:sz w:val="21"/>
                <w:szCs w:val="21"/>
                <w:lang w:eastAsia="zh-CN"/>
              </w:rPr>
              <w:t>，拟定了审核实施表，明确了内审范围，内审人员经培训合格上岗，能力满足要求，未出现审核本部门情况，内审不符合项</w:t>
            </w:r>
            <w:r>
              <w:rPr>
                <w:rFonts w:hint="eastAsia" w:ascii="宋体" w:hAnsi="宋体" w:cs="宋体"/>
                <w:color w:val="000000"/>
                <w:sz w:val="21"/>
                <w:szCs w:val="21"/>
                <w:lang w:val="en-US" w:eastAsia="zh-CN"/>
              </w:rPr>
              <w:t>1</w:t>
            </w:r>
            <w:r>
              <w:rPr>
                <w:rFonts w:hint="eastAsia" w:ascii="宋体" w:hAnsi="宋体" w:cs="宋体"/>
                <w:color w:val="000000"/>
                <w:sz w:val="21"/>
                <w:szCs w:val="21"/>
                <w:lang w:eastAsia="zh-CN"/>
              </w:rPr>
              <w:t xml:space="preserve">项， </w:t>
            </w:r>
            <w:r>
              <w:rPr>
                <w:rFonts w:hint="eastAsia" w:ascii="宋体" w:hAnsi="宋体" w:cs="宋体"/>
                <w:color w:val="000000"/>
                <w:sz w:val="21"/>
                <w:szCs w:val="21"/>
                <w:lang w:val="en-US" w:eastAsia="zh-CN"/>
              </w:rPr>
              <w:t>涉及市场部</w:t>
            </w:r>
            <w:r>
              <w:rPr>
                <w:rFonts w:hint="eastAsia" w:ascii="宋体" w:hAnsi="宋体" w:cs="宋体"/>
                <w:color w:val="000000"/>
                <w:sz w:val="21"/>
                <w:szCs w:val="21"/>
                <w:lang w:eastAsia="zh-CN"/>
              </w:rPr>
              <w:t>不符合标准</w:t>
            </w:r>
            <w:r>
              <w:rPr>
                <w:rFonts w:hint="eastAsia" w:ascii="宋体" w:hAnsi="宋体" w:cs="宋体"/>
                <w:color w:val="000000"/>
                <w:sz w:val="21"/>
                <w:szCs w:val="21"/>
                <w:lang w:val="en-US" w:eastAsia="zh-CN"/>
              </w:rPr>
              <w:t>8.2.3条款</w:t>
            </w:r>
            <w:r>
              <w:rPr>
                <w:rFonts w:hint="eastAsia" w:ascii="宋体" w:hAnsi="宋体" w:cs="宋体"/>
                <w:color w:val="000000"/>
                <w:sz w:val="21"/>
                <w:szCs w:val="21"/>
                <w:lang w:eastAsia="zh-CN"/>
              </w:rPr>
              <w:t>，针对该不符合项，已及时采取纠正措施后，经</w:t>
            </w:r>
            <w:r>
              <w:rPr>
                <w:rFonts w:hint="eastAsia" w:ascii="宋体" w:hAnsi="宋体" w:cs="宋体"/>
                <w:color w:val="000000"/>
                <w:sz w:val="21"/>
                <w:szCs w:val="21"/>
                <w:lang w:val="en-US" w:eastAsia="zh-CN"/>
              </w:rPr>
              <w:t>内审员验证关闭。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rPr>
              <w:t>4.管理评审（管理评审体系变更</w:t>
            </w:r>
            <w:r>
              <w:rPr>
                <w:rFonts w:hint="eastAsia"/>
                <w:b/>
                <w:color w:val="000000" w:themeColor="text1"/>
                <w:sz w:val="20"/>
                <w:szCs w:val="20"/>
                <w:highlight w:val="none"/>
              </w:rPr>
              <w:t>需求，纠正和预防措施、体系有效性等）</w:t>
            </w:r>
          </w:p>
          <w:p>
            <w:pPr>
              <w:spacing w:line="400" w:lineRule="exact"/>
              <w:ind w:firstLine="315" w:firstLineChars="150"/>
              <w:rPr>
                <w:rFonts w:hint="eastAsia" w:ascii="宋体" w:hAnsi="宋体" w:cs="宋体"/>
                <w:szCs w:val="21"/>
                <w:highlight w:val="none"/>
              </w:rPr>
            </w:pPr>
            <w:r>
              <w:rPr>
                <w:rFonts w:hint="eastAsia" w:ascii="宋体" w:hAnsi="宋体" w:cs="宋体"/>
                <w:color w:val="000000"/>
                <w:sz w:val="21"/>
                <w:szCs w:val="21"/>
                <w:lang w:val="en-US" w:eastAsia="zh-CN"/>
              </w:rPr>
              <w:t>管理评审频次为一年一次、本次管理评审于2020年06月18日由总经理主持完成、提供主要输入材料有各部门总结，输入信息基本充分和满足要求。输出见“管理评审报告”, 做出了管理体系基本适宜、充分和有效的评审结论。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rFonts w:hint="eastAsia" w:eastAsia="宋体"/>
                <w:color w:val="FF0000"/>
                <w:sz w:val="20"/>
                <w:szCs w:val="20"/>
                <w:lang w:val="en-US" w:eastAsia="zh-CN"/>
              </w:rPr>
            </w:pPr>
            <w:r>
              <w:rPr>
                <w:rFonts w:hint="eastAsia"/>
                <w:color w:val="FF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FF0000"/>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hint="default" w:eastAsia="宋体"/>
                <w:b/>
                <w:color w:val="FF0000"/>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pacing w:val="-20"/>
                <w:sz w:val="20"/>
                <w:szCs w:val="20"/>
                <w:lang w:eastAsia="zh-CN"/>
              </w:rPr>
            </w:pPr>
            <w:r>
              <w:rPr>
                <w:rFonts w:hint="eastAsia"/>
                <w:b/>
                <w:color w:val="000000" w:themeColor="text1"/>
                <w:spacing w:val="-20"/>
                <w:sz w:val="20"/>
                <w:szCs w:val="20"/>
                <w:lang w:eastAsia="zh-CN"/>
              </w:rPr>
              <w:t>3. 一阶段提出问题的整改情况?</w:t>
            </w:r>
          </w:p>
          <w:p>
            <w:pPr>
              <w:spacing w:line="240" w:lineRule="exact"/>
              <w:rPr>
                <w:rFonts w:hint="default" w:eastAsia="宋体"/>
                <w:b/>
                <w:color w:val="000000" w:themeColor="text1"/>
                <w:spacing w:val="-20"/>
                <w:sz w:val="20"/>
                <w:szCs w:val="20"/>
                <w:lang w:val="en-US" w:eastAsia="zh-CN"/>
              </w:rPr>
            </w:pPr>
            <w:r>
              <w:rPr>
                <w:rFonts w:hint="eastAsia"/>
                <w:b/>
                <w:color w:val="000000" w:themeColor="text1"/>
                <w:spacing w:val="-2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Cs w:val="21"/>
              </w:rPr>
            </w:pPr>
            <w:r>
              <w:rPr>
                <w:rFonts w:hint="eastAsia"/>
                <w:b/>
                <w:color w:val="000000" w:themeColor="text1"/>
                <w:szCs w:val="21"/>
              </w:rPr>
              <w:t>5. 上次不符合的整改情况（再认证填写）</w:t>
            </w:r>
          </w:p>
          <w:p>
            <w:pPr>
              <w:spacing w:line="240" w:lineRule="exact"/>
              <w:rPr>
                <w:rFonts w:hint="default" w:eastAsia="宋体"/>
                <w:b/>
                <w:color w:val="000000" w:themeColor="text1"/>
                <w:szCs w:val="21"/>
                <w:lang w:val="en-US" w:eastAsia="zh-CN"/>
              </w:rPr>
            </w:pPr>
            <w:r>
              <w:rPr>
                <w:rFonts w:hint="eastAsia" w:ascii="Times New Roman" w:hAnsi="Times New Roman" w:cs="Times New Roman"/>
                <w:b/>
                <w:color w:val="000000" w:themeColor="text1"/>
                <w:sz w:val="20"/>
                <w:szCs w:val="20"/>
                <w:lang w:val="en-US" w:eastAsia="zh-CN"/>
              </w:rPr>
              <w:t>上次不符合8.4.1条款，经过本次验证未出现类似不符合情况</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7"/>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rPr>
          <w:rFonts w:ascii="宋体" w:hAnsi="宋体"/>
          <w:b/>
          <w:szCs w:val="21"/>
        </w:rPr>
        <w:pict>
          <v:line id="直接连接符 1" o:spid="_x0000_s2051"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1</w:t>
      </w:r>
      <w:r>
        <w:rPr>
          <w:rFonts w:hint="eastAsia" w:ascii="宋体" w:hAnsi="宋体"/>
          <w:b/>
          <w:szCs w:val="21"/>
        </w:rPr>
        <w:t>项，观察项</w:t>
      </w:r>
      <w:r>
        <w:rPr>
          <w:rFonts w:hint="eastAsia" w:ascii="宋体" w:hAnsi="宋体"/>
          <w:b/>
          <w:szCs w:val="21"/>
          <w:lang w:val="en-US" w:eastAsia="zh-CN"/>
        </w:rPr>
        <w:t>0</w:t>
      </w:r>
      <w:r>
        <w:rPr>
          <w:rFonts w:hint="eastAsia" w:ascii="宋体" w:hAnsi="宋体"/>
          <w:b/>
          <w:szCs w:val="21"/>
        </w:rPr>
        <w:t>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7"/>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rFonts w:hint="eastAsia"/>
          <w:b/>
          <w:sz w:val="21"/>
        </w:rPr>
      </w:pPr>
    </w:p>
    <w:p>
      <w:pPr>
        <w:snapToGrid w:val="0"/>
        <w:spacing w:before="163" w:beforeLines="50" w:line="320" w:lineRule="exact"/>
        <w:ind w:firstLine="527" w:firstLineChars="250"/>
        <w:rPr>
          <w:rFonts w:hint="eastAsia"/>
          <w:b/>
          <w:sz w:val="21"/>
        </w:rPr>
      </w:pPr>
      <w:r>
        <w:rPr>
          <w:rFonts w:hint="eastAsia"/>
          <w:b/>
          <w:sz w:val="21"/>
        </w:rPr>
        <w:t>审核组组员（签名）：</w:t>
      </w:r>
    </w:p>
    <w:p>
      <w:pPr>
        <w:pStyle w:val="2"/>
      </w:pPr>
    </w:p>
    <w:p>
      <w:pPr>
        <w:snapToGrid w:val="0"/>
        <w:spacing w:line="280" w:lineRule="exact"/>
        <w:ind w:firstLine="6325" w:firstLineChars="3000"/>
        <w:rPr>
          <w:b/>
          <w:sz w:val="21"/>
        </w:rPr>
      </w:pPr>
      <w:r>
        <w:rPr>
          <w:rFonts w:hint="eastAsia"/>
          <w:b/>
          <w:sz w:val="21"/>
        </w:rPr>
        <w:t>日期：</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lang w:eastAsia="zh-CN"/>
        </w:rPr>
        <w:t>☑</w:t>
      </w:r>
      <w:r>
        <w:rPr>
          <w:b/>
          <w:sz w:val="21"/>
          <w:szCs w:val="21"/>
        </w:rPr>
        <w:t>QMS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p>
    <w:p>
      <w:pPr>
        <w:spacing w:before="163" w:beforeLines="50"/>
        <w:ind w:firstLine="632" w:firstLineChars="300"/>
        <w:rPr>
          <w:b/>
          <w:sz w:val="21"/>
          <w:szCs w:val="21"/>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3"/>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3"/>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w:t>
      </w:r>
      <w:r>
        <w:rPr>
          <w:rFonts w:hint="eastAsia"/>
          <w:b/>
          <w:sz w:val="21"/>
          <w:lang w:val="en-US" w:eastAsia="zh-CN"/>
        </w:rPr>
        <w:t xml:space="preserve">      </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rFonts w:hint="eastAsia"/>
          <w:b/>
          <w:sz w:val="21"/>
          <w:lang w:val="en-US" w:eastAsia="zh-CN"/>
        </w:rPr>
        <w:t xml:space="preserve">     </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6"/>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6"/>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5F1E0F62"/>
    <w:multiLevelType w:val="singleLevel"/>
    <w:tmpl w:val="5F1E0F62"/>
    <w:lvl w:ilvl="0" w:tentative="0">
      <w:start w:val="3"/>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0F10B0"/>
    <w:rsid w:val="0046267A"/>
    <w:rsid w:val="01CD0FB3"/>
    <w:rsid w:val="021550AE"/>
    <w:rsid w:val="04F22696"/>
    <w:rsid w:val="05020B46"/>
    <w:rsid w:val="051548F6"/>
    <w:rsid w:val="05651DE2"/>
    <w:rsid w:val="05D450D5"/>
    <w:rsid w:val="06300318"/>
    <w:rsid w:val="06A320AB"/>
    <w:rsid w:val="06BF2CD7"/>
    <w:rsid w:val="0727240C"/>
    <w:rsid w:val="074C4A33"/>
    <w:rsid w:val="079A4DE4"/>
    <w:rsid w:val="08835D6C"/>
    <w:rsid w:val="08896B46"/>
    <w:rsid w:val="08B91A18"/>
    <w:rsid w:val="09F15FA7"/>
    <w:rsid w:val="0A090B0E"/>
    <w:rsid w:val="0A527ADA"/>
    <w:rsid w:val="0AD47808"/>
    <w:rsid w:val="0AF04BA2"/>
    <w:rsid w:val="0B5611FD"/>
    <w:rsid w:val="0B930D81"/>
    <w:rsid w:val="0C65442E"/>
    <w:rsid w:val="0DA80DD0"/>
    <w:rsid w:val="0F4E23A9"/>
    <w:rsid w:val="101D7037"/>
    <w:rsid w:val="1162011B"/>
    <w:rsid w:val="126F5FC1"/>
    <w:rsid w:val="1337111A"/>
    <w:rsid w:val="139A5FEE"/>
    <w:rsid w:val="143738FE"/>
    <w:rsid w:val="14E659C4"/>
    <w:rsid w:val="15156DD8"/>
    <w:rsid w:val="15E72414"/>
    <w:rsid w:val="166F1A35"/>
    <w:rsid w:val="16DB068B"/>
    <w:rsid w:val="18413DB4"/>
    <w:rsid w:val="1948680D"/>
    <w:rsid w:val="19D002B3"/>
    <w:rsid w:val="19DB1DE3"/>
    <w:rsid w:val="1B5A0D7A"/>
    <w:rsid w:val="1C4F1CE4"/>
    <w:rsid w:val="1D2B70C4"/>
    <w:rsid w:val="1D933988"/>
    <w:rsid w:val="1E3F4373"/>
    <w:rsid w:val="1F5D3064"/>
    <w:rsid w:val="1FFA6564"/>
    <w:rsid w:val="207F6A68"/>
    <w:rsid w:val="20922F44"/>
    <w:rsid w:val="20A758FE"/>
    <w:rsid w:val="214C17CA"/>
    <w:rsid w:val="22B0401F"/>
    <w:rsid w:val="241819E1"/>
    <w:rsid w:val="265201BB"/>
    <w:rsid w:val="273422EB"/>
    <w:rsid w:val="27D209B7"/>
    <w:rsid w:val="28056170"/>
    <w:rsid w:val="28865B9E"/>
    <w:rsid w:val="2A1D7173"/>
    <w:rsid w:val="2B744D44"/>
    <w:rsid w:val="2BA37569"/>
    <w:rsid w:val="2D814BC5"/>
    <w:rsid w:val="2DA25B13"/>
    <w:rsid w:val="2DDD22F5"/>
    <w:rsid w:val="2E611120"/>
    <w:rsid w:val="2EEE6074"/>
    <w:rsid w:val="2F871FCC"/>
    <w:rsid w:val="300D4098"/>
    <w:rsid w:val="30592E06"/>
    <w:rsid w:val="30C00476"/>
    <w:rsid w:val="30D8363F"/>
    <w:rsid w:val="311A02E7"/>
    <w:rsid w:val="32D65994"/>
    <w:rsid w:val="33104059"/>
    <w:rsid w:val="33692C86"/>
    <w:rsid w:val="343E694F"/>
    <w:rsid w:val="34DE3435"/>
    <w:rsid w:val="351775BA"/>
    <w:rsid w:val="363D5825"/>
    <w:rsid w:val="36FC6D4A"/>
    <w:rsid w:val="371D302F"/>
    <w:rsid w:val="37AA7C84"/>
    <w:rsid w:val="38183406"/>
    <w:rsid w:val="382B5482"/>
    <w:rsid w:val="38B80743"/>
    <w:rsid w:val="39444AA5"/>
    <w:rsid w:val="3A740F39"/>
    <w:rsid w:val="3AD04971"/>
    <w:rsid w:val="3C115FF9"/>
    <w:rsid w:val="3CAC64B7"/>
    <w:rsid w:val="3F037876"/>
    <w:rsid w:val="3FC50583"/>
    <w:rsid w:val="405E551F"/>
    <w:rsid w:val="408160E8"/>
    <w:rsid w:val="40B87B92"/>
    <w:rsid w:val="40CB524C"/>
    <w:rsid w:val="40FB11E2"/>
    <w:rsid w:val="41891C85"/>
    <w:rsid w:val="41AC0A43"/>
    <w:rsid w:val="42081FC4"/>
    <w:rsid w:val="42197605"/>
    <w:rsid w:val="43764FEA"/>
    <w:rsid w:val="45CC16B3"/>
    <w:rsid w:val="47972EDA"/>
    <w:rsid w:val="47B07300"/>
    <w:rsid w:val="498E0B76"/>
    <w:rsid w:val="49D22C19"/>
    <w:rsid w:val="4AD0171C"/>
    <w:rsid w:val="4B1F4C46"/>
    <w:rsid w:val="4C691B79"/>
    <w:rsid w:val="4E561E56"/>
    <w:rsid w:val="4F2512C0"/>
    <w:rsid w:val="515425E6"/>
    <w:rsid w:val="51E00316"/>
    <w:rsid w:val="5255664E"/>
    <w:rsid w:val="53575E7B"/>
    <w:rsid w:val="53934A74"/>
    <w:rsid w:val="53C45E90"/>
    <w:rsid w:val="54234102"/>
    <w:rsid w:val="552010CD"/>
    <w:rsid w:val="56514B98"/>
    <w:rsid w:val="578C0930"/>
    <w:rsid w:val="59921B29"/>
    <w:rsid w:val="5A4959E6"/>
    <w:rsid w:val="5AAF095A"/>
    <w:rsid w:val="5AF908F7"/>
    <w:rsid w:val="5E054EF4"/>
    <w:rsid w:val="5E4B3AD4"/>
    <w:rsid w:val="626F258E"/>
    <w:rsid w:val="640D7A33"/>
    <w:rsid w:val="643915D7"/>
    <w:rsid w:val="64431CE9"/>
    <w:rsid w:val="64DF4EE4"/>
    <w:rsid w:val="659C3EA2"/>
    <w:rsid w:val="65C05BD7"/>
    <w:rsid w:val="65DD780E"/>
    <w:rsid w:val="67E6329F"/>
    <w:rsid w:val="69395C63"/>
    <w:rsid w:val="693E0D2B"/>
    <w:rsid w:val="6A2C2AC3"/>
    <w:rsid w:val="6A615934"/>
    <w:rsid w:val="6C2D1B43"/>
    <w:rsid w:val="6C5217A1"/>
    <w:rsid w:val="6D0844C4"/>
    <w:rsid w:val="6DA822C4"/>
    <w:rsid w:val="6DF20275"/>
    <w:rsid w:val="6F5054CE"/>
    <w:rsid w:val="70201555"/>
    <w:rsid w:val="70552B03"/>
    <w:rsid w:val="74532055"/>
    <w:rsid w:val="756219CC"/>
    <w:rsid w:val="75DF611C"/>
    <w:rsid w:val="769E3543"/>
    <w:rsid w:val="76E06A8B"/>
    <w:rsid w:val="77AA7407"/>
    <w:rsid w:val="78E330C2"/>
    <w:rsid w:val="78E57AA4"/>
    <w:rsid w:val="797E3B75"/>
    <w:rsid w:val="7B036214"/>
    <w:rsid w:val="7B1B1791"/>
    <w:rsid w:val="7C494722"/>
    <w:rsid w:val="7D61599A"/>
    <w:rsid w:val="7DA825D7"/>
    <w:rsid w:val="7DC92F37"/>
    <w:rsid w:val="7E30204C"/>
    <w:rsid w:val="7E89139C"/>
    <w:rsid w:val="7FD86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qFormat/>
    <w:uiPriority w:val="99"/>
    <w:rPr>
      <w:sz w:val="18"/>
      <w:szCs w:val="18"/>
    </w:rPr>
  </w:style>
  <w:style w:type="paragraph" w:styleId="4">
    <w:name w:val="footer"/>
    <w:basedOn w:val="1"/>
    <w:link w:val="12"/>
    <w:semiHidden/>
    <w:uiPriority w:val="99"/>
    <w:pPr>
      <w:tabs>
        <w:tab w:val="center" w:pos="4153"/>
        <w:tab w:val="right" w:pos="8306"/>
      </w:tabs>
      <w:snapToGrid w:val="0"/>
      <w:jc w:val="left"/>
    </w:pPr>
    <w:rPr>
      <w:sz w:val="18"/>
      <w:szCs w:val="18"/>
    </w:rPr>
  </w:style>
  <w:style w:type="paragraph" w:styleId="5">
    <w:name w:val="header"/>
    <w:basedOn w:val="1"/>
    <w:link w:val="13"/>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Cs w:val="24"/>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character" w:customStyle="1" w:styleId="11">
    <w:name w:val="批注框文本 Char"/>
    <w:link w:val="3"/>
    <w:semiHidden/>
    <w:locked/>
    <w:uiPriority w:val="99"/>
    <w:rPr>
      <w:rFonts w:ascii="Times New Roman" w:hAnsi="Times New Roman" w:eastAsia="宋体" w:cs="Times New Roman"/>
      <w:sz w:val="18"/>
      <w:szCs w:val="18"/>
    </w:rPr>
  </w:style>
  <w:style w:type="character" w:customStyle="1" w:styleId="12">
    <w:name w:val="页脚 Char"/>
    <w:link w:val="4"/>
    <w:semiHidden/>
    <w:qFormat/>
    <w:locked/>
    <w:uiPriority w:val="99"/>
    <w:rPr>
      <w:rFonts w:ascii="Times New Roman" w:hAnsi="Times New Roman" w:eastAsia="宋体" w:cs="Times New Roman"/>
      <w:sz w:val="18"/>
      <w:szCs w:val="18"/>
    </w:rPr>
  </w:style>
  <w:style w:type="character" w:customStyle="1" w:styleId="13">
    <w:name w:val="页眉 Char"/>
    <w:link w:val="5"/>
    <w:qFormat/>
    <w:locked/>
    <w:uiPriority w:val="0"/>
    <w:rPr>
      <w:sz w:val="18"/>
    </w:rPr>
  </w:style>
  <w:style w:type="character" w:customStyle="1" w:styleId="14">
    <w:name w:val="页眉 Char1"/>
    <w:semiHidden/>
    <w:qFormat/>
    <w:uiPriority w:val="99"/>
    <w:rPr>
      <w:rFonts w:ascii="Times New Roman" w:hAnsi="Times New Roman" w:eastAsia="宋体" w:cs="Times New Roman"/>
      <w:sz w:val="18"/>
      <w:szCs w:val="18"/>
    </w:rPr>
  </w:style>
  <w:style w:type="paragraph" w:styleId="15">
    <w:name w:val="List Paragraph"/>
    <w:basedOn w:val="1"/>
    <w:qFormat/>
    <w:uiPriority w:val="99"/>
    <w:pPr>
      <w:ind w:firstLine="420" w:firstLineChars="200"/>
    </w:pPr>
    <w:rPr>
      <w:sz w:val="21"/>
      <w:szCs w:val="24"/>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0</TotalTime>
  <ScaleCrop>false</ScaleCrop>
  <LinksUpToDate>false</LinksUpToDate>
  <CharactersWithSpaces>4386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way一直都在</cp:lastModifiedBy>
  <cp:lastPrinted>2019-04-18T08:15:00Z</cp:lastPrinted>
  <dcterms:modified xsi:type="dcterms:W3CDTF">2020-07-14T03:27:59Z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