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金卡智能集团股份有限公司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900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