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0038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成都千嘉科技股份有限公司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30020-2025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0427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30020-2025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成都千嘉科技股份有限公司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石小梅</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2026年03月26日上午至2026年03月26日下午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向继林、胡琳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7688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