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2026年02月02日下午至2026年02月03日上午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8484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