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大连精工重型冶金轴承制造有限公司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