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20032-2024-EO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609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重庆东电科技有限公司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胡帅、冉景洲、文平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853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2024-N1EMS-1341707</w:t>
            </w:r>
          </w:p>
        </w:tc>
        <w:tc>
          <w:tcPr>
            <w:tcW w:w="3145" w:type="dxa"/>
            <w:vAlign w:val="center"/>
          </w:tcPr>
          <w:p w:rsidR="00142F5C" w:rsidP="00772D33">
            <w:pPr>
              <w:spacing w:line="360" w:lineRule="exact"/>
              <w:jc w:val="center"/>
              <w:rPr>
                <w:szCs w:val="21"/>
              </w:rPr>
            </w:pPr>
            <w:r>
              <w:t>29.10.07,29.11.04,29.12.00,33.02.01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2024-N1QMS-1341707</w:t>
            </w:r>
          </w:p>
        </w:tc>
        <w:tc>
          <w:tcPr>
            <w:tcW w:w="3145" w:type="dxa"/>
            <w:vAlign w:val="center"/>
          </w:tcPr>
          <w:p w:rsidR="001F0A49">
            <w:pPr>
              <w:spacing w:line="360" w:lineRule="auto"/>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29.10.07,29.11.04,29.12.00,33.02.01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19.05.01,19.14.00,29.10.07,29.11.04,29.12.00,33.02.01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19.05.01,19.14.00,29.10.07,29.11.04,29.12.00,33.02.01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19.05.01,19.14.00,29.10.07,29.11.04,29.12.00,33.02.01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19.02.00,19.03.00,19.04.00,19.05.01,19.07.00,19.09.02,19.14.00,29.10.07,29.11.04,29.12.00,33.02.01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19.02.00,19.03.00,19.04.00,19.05.01,19.07.00,19.09.02,19.14.00,29.10.07,29.11.04,29.12.00,33.02.01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19.02.00,19.03.00,19.04.00,19.05.01,19.07.00,19.09.02,19.14.00,29.10.07,29.11.04,29.12.00,33.02.01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重庆市渝北区人和雪松路2号6幢（原2幢）1-9-2号</w:t>
      </w:r>
    </w:p>
    <w:p w:rsidR="001F0A49">
      <w:pPr>
        <w:spacing w:line="360" w:lineRule="auto"/>
        <w:ind w:firstLine="420" w:firstLineChars="200"/>
      </w:pPr>
      <w:r>
        <w:rPr>
          <w:rFonts w:hint="eastAsia"/>
        </w:rPr>
        <w:t>办公地址：</w:t>
      </w:r>
      <w:r>
        <w:rPr>
          <w:rFonts w:hint="eastAsia"/>
        </w:rPr>
        <w:t>重庆市渝北区中智联工业园</w:t>
      </w:r>
    </w:p>
    <w:p w:rsidR="001F0A49">
      <w:pPr>
        <w:spacing w:line="360" w:lineRule="auto"/>
        <w:ind w:firstLine="420" w:firstLineChars="200"/>
      </w:pPr>
      <w:r>
        <w:rPr>
          <w:rFonts w:hint="eastAsia"/>
        </w:rPr>
        <w:t>经营地址：</w:t>
      </w:r>
      <w:bookmarkStart w:id="12" w:name="生产地址"/>
      <w:bookmarkEnd w:id="12"/>
      <w:r>
        <w:rPr>
          <w:rFonts w:hint="eastAsia"/>
        </w:rPr>
        <w:t>重庆市渝北区中智联工业园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重庆东电科技有限公司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434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