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5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6"/>
        <w:gridCol w:w="810"/>
        <w:gridCol w:w="761"/>
        <w:gridCol w:w="10423"/>
        <w:gridCol w:w="11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66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81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1184" w:type="dxa"/>
            <w:gridSpan w:val="2"/>
            <w:vAlign w:val="center"/>
          </w:tcPr>
          <w:p>
            <w:pPr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综合办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</w:t>
            </w:r>
            <w:r>
              <w:rPr>
                <w:color w:val="auto"/>
                <w:sz w:val="24"/>
                <w:szCs w:val="24"/>
              </w:rPr>
              <w:t xml:space="preserve">  </w:t>
            </w:r>
            <w:r>
              <w:rPr>
                <w:rFonts w:hint="eastAsia"/>
                <w:color w:val="auto"/>
                <w:sz w:val="24"/>
                <w:szCs w:val="24"/>
              </w:rPr>
              <w:t>陪同人员：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倪娟</w:t>
            </w:r>
            <w:bookmarkStart w:id="0" w:name="_GoBack"/>
            <w:bookmarkEnd w:id="0"/>
          </w:p>
        </w:tc>
        <w:tc>
          <w:tcPr>
            <w:tcW w:w="1149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566" w:type="dxa"/>
            <w:vMerge w:val="continue"/>
            <w:vAlign w:val="center"/>
          </w:tcPr>
          <w:p/>
        </w:tc>
        <w:tc>
          <w:tcPr>
            <w:tcW w:w="810" w:type="dxa"/>
            <w:vMerge w:val="continue"/>
            <w:vAlign w:val="center"/>
          </w:tcPr>
          <w:p/>
        </w:tc>
        <w:tc>
          <w:tcPr>
            <w:tcW w:w="11184" w:type="dxa"/>
            <w:gridSpan w:val="2"/>
            <w:vAlign w:val="center"/>
          </w:tcPr>
          <w:p>
            <w:pPr>
              <w:spacing w:before="120"/>
              <w:rPr>
                <w:rFonts w:hint="default" w:eastAsia="宋体"/>
                <w:color w:val="1D41D5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审核员：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张磊（现场）韦春喜（远程） 刘梦晗（远程）陈阵南  审核日期：2020年07月21日</w:t>
            </w:r>
          </w:p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566" w:type="dxa"/>
            <w:vMerge w:val="continue"/>
            <w:vAlign w:val="center"/>
          </w:tcPr>
          <w:p/>
        </w:tc>
        <w:tc>
          <w:tcPr>
            <w:tcW w:w="810" w:type="dxa"/>
            <w:vMerge w:val="continue"/>
            <w:vAlign w:val="center"/>
          </w:tcPr>
          <w:p/>
        </w:tc>
        <w:tc>
          <w:tcPr>
            <w:tcW w:w="11184" w:type="dxa"/>
            <w:gridSpan w:val="2"/>
            <w:vAlign w:val="center"/>
          </w:tcPr>
          <w:p>
            <w:pPr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</w:p>
          <w:p>
            <w:pPr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6.2/7.1.3/7.1.4/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7.1.5/</w:t>
            </w:r>
            <w:r>
              <w:rPr>
                <w:rFonts w:hint="eastAsia" w:ascii="宋体" w:hAnsi="宋体"/>
                <w:sz w:val="18"/>
                <w:szCs w:val="18"/>
              </w:rPr>
              <w:t>8.1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18"/>
                <w:szCs w:val="18"/>
              </w:rPr>
              <w:t>8.5.1/8.5.2</w:t>
            </w:r>
            <w:r>
              <w:rPr>
                <w:rFonts w:hint="default" w:ascii="宋体" w:hAnsi="宋体"/>
                <w:sz w:val="18"/>
                <w:szCs w:val="18"/>
              </w:rPr>
              <w:t>/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8.5.3/8.5.4/8.5.5/</w:t>
            </w:r>
            <w:r>
              <w:rPr>
                <w:rFonts w:hint="eastAsia" w:ascii="宋体" w:hAnsi="宋体"/>
                <w:sz w:val="18"/>
                <w:szCs w:val="18"/>
              </w:rPr>
              <w:t>8.5.6/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8.6/</w:t>
            </w:r>
            <w:r>
              <w:rPr>
                <w:rFonts w:hint="eastAsia" w:ascii="宋体" w:hAnsi="宋体"/>
                <w:sz w:val="18"/>
                <w:szCs w:val="18"/>
              </w:rPr>
              <w:t>8.7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/9.1.3</w:t>
            </w:r>
          </w:p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566" w:type="dxa"/>
            <w:vMerge w:val="restart"/>
          </w:tcPr>
          <w:p>
            <w:pPr>
              <w:rPr>
                <w:rFonts w:hint="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质量目标及其实现的策划</w:t>
            </w:r>
          </w:p>
          <w:p/>
        </w:tc>
        <w:tc>
          <w:tcPr>
            <w:tcW w:w="810" w:type="dxa"/>
            <w:vMerge w:val="restart"/>
          </w:tcPr>
          <w:p>
            <w:r>
              <w:rPr>
                <w:rFonts w:hint="eastAsia"/>
                <w:color w:val="000000"/>
                <w:szCs w:val="21"/>
                <w:lang w:val="en-US" w:eastAsia="zh-CN"/>
              </w:rPr>
              <w:t>Q6.2 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423" w:type="dxa"/>
          </w:tcPr>
          <w:p>
            <w:r>
              <w:rPr>
                <w:rFonts w:hint="eastAsia"/>
                <w:lang w:val="en-US" w:eastAsia="zh-CN"/>
              </w:rPr>
              <w:t>如：手册第6.2条款、《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质量目标</w:t>
            </w:r>
            <w:r>
              <w:rPr>
                <w:rFonts w:hint="eastAsia"/>
                <w:lang w:val="en-US" w:eastAsia="zh-CN"/>
              </w:rPr>
              <w:t>》、《分解目标》</w:t>
            </w:r>
          </w:p>
        </w:tc>
        <w:tc>
          <w:tcPr>
            <w:tcW w:w="1149" w:type="dxa"/>
            <w:vMerge w:val="restart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  <w:p>
            <w:pPr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42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</w:rPr>
              <w:t>组织建立</w:t>
            </w:r>
            <w:r>
              <w:rPr>
                <w:rFonts w:hint="eastAsia"/>
                <w:vertAlign w:val="baseline"/>
                <w:lang w:val="en-US" w:eastAsia="zh-CN"/>
              </w:rPr>
              <w:t>了与方针一致的文件化的管理</w:t>
            </w:r>
            <w:r>
              <w:rPr>
                <w:rFonts w:hint="eastAsia"/>
                <w:vertAlign w:val="baseline"/>
              </w:rPr>
              <w:t>目标。</w:t>
            </w:r>
            <w:r>
              <w:rPr>
                <w:rFonts w:hint="eastAsia"/>
                <w:vertAlign w:val="baseline"/>
                <w:lang w:eastAsia="zh-CN"/>
              </w:rPr>
              <w:t>为实现总质量目标而建立的各层级质量目标具体、有针对性、可测量并且可实现。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总质量目标实现情况的评价，及其测量方法是：</w:t>
            </w:r>
          </w:p>
          <w:tbl>
            <w:tblPr>
              <w:tblStyle w:val="5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84"/>
              <w:gridCol w:w="3963"/>
              <w:gridCol w:w="1237"/>
              <w:gridCol w:w="161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84" w:type="dxa"/>
                  <w:shd w:val="clear" w:color="auto" w:fill="auto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eastAsia" w:ascii="宋体" w:hAnsi="宋体"/>
                      <w:kern w:val="2"/>
                      <w:szCs w:val="24"/>
                      <w:lang w:eastAsia="zh-CN"/>
                    </w:rPr>
                  </w:pPr>
                  <w:r>
                    <w:rPr>
                      <w:rFonts w:hint="eastAsia" w:ascii="宋体" w:hAnsi="宋体"/>
                      <w:kern w:val="2"/>
                      <w:szCs w:val="24"/>
                      <w:lang w:val="en-US" w:eastAsia="zh-CN"/>
                    </w:rPr>
                    <w:t>质量</w:t>
                  </w:r>
                  <w:r>
                    <w:rPr>
                      <w:rFonts w:hint="eastAsia" w:ascii="宋体" w:hAnsi="宋体"/>
                      <w:kern w:val="2"/>
                      <w:szCs w:val="24"/>
                      <w:lang w:eastAsia="zh-CN"/>
                    </w:rPr>
                    <w:t>目标</w:t>
                  </w:r>
                </w:p>
              </w:tc>
              <w:tc>
                <w:tcPr>
                  <w:tcW w:w="3963" w:type="dxa"/>
                  <w:shd w:val="clear" w:color="auto" w:fill="auto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kern w:val="2"/>
                      <w:szCs w:val="24"/>
                      <w:lang w:eastAsia="zh-CN"/>
                    </w:rPr>
                    <w:t>计算方法</w:t>
                  </w:r>
                </w:p>
              </w:tc>
              <w:tc>
                <w:tcPr>
                  <w:tcW w:w="1237" w:type="dxa"/>
                  <w:shd w:val="clear" w:color="auto" w:fill="auto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default" w:ascii="宋体" w:hAnsi="宋体"/>
                      <w:kern w:val="2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kern w:val="2"/>
                      <w:szCs w:val="24"/>
                      <w:lang w:val="en-US" w:eastAsia="zh-CN"/>
                    </w:rPr>
                    <w:t>责任部门</w:t>
                  </w:r>
                </w:p>
              </w:tc>
              <w:tc>
                <w:tcPr>
                  <w:tcW w:w="1613" w:type="dxa"/>
                  <w:shd w:val="clear" w:color="auto" w:fill="auto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default" w:ascii="宋体" w:hAnsi="宋体"/>
                      <w:kern w:val="2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kern w:val="2"/>
                      <w:szCs w:val="24"/>
                      <w:lang w:val="en-US" w:eastAsia="zh-CN"/>
                    </w:rPr>
                    <w:t>目标实际完成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84" w:type="dxa"/>
                  <w:shd w:val="clear" w:color="auto" w:fill="auto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</w:rPr>
                    <w:t>设备完好率95%以上</w:t>
                  </w:r>
                </w:p>
              </w:tc>
              <w:tc>
                <w:tcPr>
                  <w:tcW w:w="3963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/>
                      <w:szCs w:val="21"/>
                    </w:rPr>
                    <w:t>设备正常使用时间/使用时间×100%</w:t>
                  </w:r>
                </w:p>
              </w:tc>
              <w:tc>
                <w:tcPr>
                  <w:tcW w:w="1237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  <w:t>工程部</w:t>
                  </w:r>
                </w:p>
              </w:tc>
              <w:tc>
                <w:tcPr>
                  <w:tcW w:w="1613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jc w:val="center"/>
                    <w:rPr>
                      <w:rFonts w:hint="default" w:ascii="宋体" w:hAnsi="宋体" w:cs="Times New Roman"/>
                      <w:lang w:val="en-US" w:eastAsia="zh-CN"/>
                    </w:rPr>
                  </w:pPr>
                  <w:r>
                    <w:rPr>
                      <w:rFonts w:hint="eastAsia" w:ascii="宋体" w:hAnsi="宋体" w:cs="Times New Roman"/>
                      <w:lang w:val="en-US" w:eastAsia="zh-CN"/>
                    </w:rPr>
                    <w:t>100%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84" w:type="dxa"/>
                  <w:shd w:val="clear" w:color="auto" w:fill="auto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color w:val="000000"/>
                      <w:szCs w:val="21"/>
                    </w:rPr>
                    <w:t>工程一次性交验合格率≥95%</w:t>
                  </w:r>
                </w:p>
              </w:tc>
              <w:tc>
                <w:tcPr>
                  <w:tcW w:w="3963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/>
                      <w:szCs w:val="21"/>
                    </w:rPr>
                    <w:t>一次检验合格次数/工程检验总数</w:t>
                  </w:r>
                  <w:r>
                    <w:rPr>
                      <w:rFonts w:hint="eastAsia" w:ascii="宋体" w:hAnsi="宋体"/>
                      <w:szCs w:val="21"/>
                    </w:rPr>
                    <w:t>×</w:t>
                  </w:r>
                  <w:r>
                    <w:rPr>
                      <w:rFonts w:hint="eastAsia"/>
                      <w:szCs w:val="21"/>
                    </w:rPr>
                    <w:t>100%</w:t>
                  </w:r>
                </w:p>
              </w:tc>
              <w:tc>
                <w:tcPr>
                  <w:tcW w:w="1237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  <w:t>工程部</w:t>
                  </w:r>
                </w:p>
              </w:tc>
              <w:tc>
                <w:tcPr>
                  <w:tcW w:w="1613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100%</w:t>
                  </w:r>
                </w:p>
              </w:tc>
            </w:tr>
          </w:tbl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vertAlign w:val="baseline"/>
                <w:lang w:val="en-US"/>
              </w:rPr>
            </w:pPr>
            <w:r>
              <w:rPr>
                <w:rFonts w:hint="eastAsia"/>
                <w:vertAlign w:val="baseline"/>
                <w:lang w:val="en-US"/>
              </w:rPr>
              <w:sym w:font="Wingdings" w:char="00FE"/>
            </w:r>
            <w:r>
              <w:rPr>
                <w:rFonts w:hint="eastAsia"/>
                <w:vertAlign w:val="baseline"/>
                <w:lang w:val="en-US"/>
              </w:rPr>
              <w:t>目标</w:t>
            </w:r>
            <w:r>
              <w:rPr>
                <w:rFonts w:hint="eastAsia"/>
                <w:vertAlign w:val="baseline"/>
                <w:lang w:val="en-US" w:eastAsia="zh-CN"/>
              </w:rPr>
              <w:t>已</w:t>
            </w:r>
            <w:r>
              <w:rPr>
                <w:rFonts w:hint="eastAsia"/>
                <w:vertAlign w:val="baseline"/>
                <w:lang w:val="en-US"/>
              </w:rPr>
              <w:t>实现</w:t>
            </w:r>
          </w:p>
          <w:p>
            <w:r>
              <w:rPr>
                <w:rFonts w:hint="eastAsia"/>
                <w:vertAlign w:val="baseline"/>
                <w:lang w:val="en-US"/>
              </w:rPr>
              <w:sym w:font="Wingdings" w:char="00A8"/>
            </w:r>
            <w:r>
              <w:rPr>
                <w:rFonts w:hint="eastAsia"/>
                <w:vertAlign w:val="baseline"/>
                <w:lang w:val="en-US"/>
              </w:rPr>
              <w:t>目标没有实现的，组织在内部及时</w:t>
            </w:r>
            <w:r>
              <w:rPr>
                <w:rFonts w:hint="eastAsia"/>
                <w:vertAlign w:val="baseline"/>
                <w:lang w:val="en-US" w:eastAsia="zh-CN"/>
              </w:rPr>
              <w:t>进行原因分析</w:t>
            </w:r>
            <w:r>
              <w:rPr>
                <w:rFonts w:hint="eastAsia"/>
                <w:vertAlign w:val="baseline"/>
                <w:lang w:val="en-US"/>
              </w:rPr>
              <w:t>并采取了改进措施</w:t>
            </w:r>
            <w:r>
              <w:rPr>
                <w:rFonts w:hint="eastAsia"/>
                <w:vertAlign w:val="baseline"/>
                <w:lang w:eastAsia="zh-CN"/>
              </w:rPr>
              <w:t>。</w:t>
            </w:r>
          </w:p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566" w:type="dxa"/>
            <w:vMerge w:val="restart"/>
            <w:vAlign w:val="top"/>
          </w:tcPr>
          <w:p>
            <w:r>
              <w:rPr>
                <w:rFonts w:hint="eastAsia"/>
              </w:rPr>
              <w:t>基础设施</w:t>
            </w:r>
          </w:p>
        </w:tc>
        <w:tc>
          <w:tcPr>
            <w:tcW w:w="810" w:type="dxa"/>
            <w:vMerge w:val="restart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 xml:space="preserve">7.1.3 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423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如：手册第7.1条款、《</w:t>
            </w:r>
            <w:r>
              <w:rPr>
                <w:rFonts w:hint="eastAsia"/>
              </w:rPr>
              <w:t>基础设施</w:t>
            </w:r>
            <w:r>
              <w:rPr>
                <w:rFonts w:hint="eastAsia"/>
                <w:lang w:val="en-US" w:eastAsia="zh-CN"/>
              </w:rPr>
              <w:t>控制程序》、《设备管理制度》、《设备操作规程》</w:t>
            </w:r>
          </w:p>
          <w:p>
            <w:pPr>
              <w:rPr>
                <w:rFonts w:hint="default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锅炉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电梯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压力容器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压力管道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不适用 </w:t>
            </w:r>
          </w:p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149" w:type="dxa"/>
            <w:vMerge w:val="restart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566" w:type="dxa"/>
            <w:vMerge w:val="continue"/>
            <w:vAlign w:val="top"/>
          </w:tcPr>
          <w:p/>
        </w:tc>
        <w:tc>
          <w:tcPr>
            <w:tcW w:w="810" w:type="dxa"/>
            <w:vMerge w:val="continue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761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423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 xml:space="preserve"> 基础设施包括：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 xml:space="preserve">办公楼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车间厂房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库房 </w:t>
            </w:r>
            <w:r>
              <w:rPr>
                <w:rFonts w:hint="eastAsia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>生产设备</w:t>
            </w:r>
            <w:r>
              <w:rPr>
                <w:rFonts w:hint="eastAsia"/>
                <w:u w:val="none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特种设备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>动力设施</w:t>
            </w:r>
          </w:p>
          <w:p>
            <w:pPr>
              <w:ind w:firstLine="1680" w:firstLineChars="80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试验设备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 xml:space="preserve">辅助设施 </w:t>
            </w:r>
            <w:r>
              <w:rPr>
                <w:rFonts w:hint="eastAsia"/>
                <w:u w:val="none"/>
                <w:vertAlign w:val="baseline"/>
                <w:lang w:val="en-US" w:eastAsia="zh-CN"/>
              </w:rPr>
              <w:t xml:space="preserve"> 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查看对设备采购的控制</w:t>
            </w:r>
          </w:p>
          <w:tbl>
            <w:tblPr>
              <w:tblStyle w:val="6"/>
              <w:tblW w:w="871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17"/>
              <w:gridCol w:w="1560"/>
              <w:gridCol w:w="1911"/>
              <w:gridCol w:w="223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8" w:hRule="atLeast"/>
              </w:trPr>
              <w:tc>
                <w:tcPr>
                  <w:tcW w:w="3017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新采购的设备</w:t>
                  </w:r>
                  <w:r>
                    <w:rPr>
                      <w:rFonts w:hint="eastAsia"/>
                      <w:lang w:val="en-US" w:eastAsia="zh-CN"/>
                    </w:rPr>
                    <w:t>名称/型号</w:t>
                  </w:r>
                </w:p>
              </w:tc>
              <w:tc>
                <w:tcPr>
                  <w:tcW w:w="1560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设备申购单</w:t>
                  </w:r>
                  <w:r>
                    <w:rPr>
                      <w:rFonts w:hint="eastAsia"/>
                      <w:lang w:val="en-US" w:eastAsia="zh-CN"/>
                    </w:rPr>
                    <w:t>号/日期</w:t>
                  </w:r>
                </w:p>
              </w:tc>
              <w:tc>
                <w:tcPr>
                  <w:tcW w:w="1911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设备验收单</w:t>
                  </w:r>
                  <w:r>
                    <w:rPr>
                      <w:rFonts w:hint="eastAsia"/>
                      <w:lang w:val="en-US" w:eastAsia="zh-CN"/>
                    </w:rPr>
                    <w:t>号/日期</w:t>
                  </w:r>
                </w:p>
              </w:tc>
              <w:tc>
                <w:tcPr>
                  <w:tcW w:w="2230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设备档案齐全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3" w:hRule="atLeast"/>
              </w:trPr>
              <w:tc>
                <w:tcPr>
                  <w:tcW w:w="3017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--</w:t>
                  </w:r>
                </w:p>
              </w:tc>
              <w:tc>
                <w:tcPr>
                  <w:tcW w:w="1560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911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2230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ascii="Calibri" w:hAnsi="Calibri"/>
                    </w:rPr>
                    <w:sym w:font="Wingdings 2" w:char="0052"/>
                  </w:r>
                  <w:r>
                    <w:rPr>
                      <w:rFonts w:hint="eastAsia"/>
                    </w:rPr>
                    <w:t xml:space="preserve">齐全    </w:t>
                  </w:r>
                  <w:r>
                    <w:rPr>
                      <w:rFonts w:ascii="Calibri" w:hAnsi="Calibri"/>
                    </w:rPr>
                    <w:t>□</w:t>
                  </w:r>
                  <w:r>
                    <w:rPr>
                      <w:rFonts w:hint="eastAsia"/>
                    </w:rPr>
                    <w:t>缺少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3" w:hRule="atLeast"/>
              </w:trPr>
              <w:tc>
                <w:tcPr>
                  <w:tcW w:w="3017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560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911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2230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ascii="Calibri" w:hAnsi="Calibri"/>
                    </w:rPr>
                    <w:t>□</w:t>
                  </w:r>
                  <w:r>
                    <w:rPr>
                      <w:rFonts w:hint="eastAsia"/>
                    </w:rPr>
                    <w:t xml:space="preserve">齐全    </w:t>
                  </w:r>
                  <w:r>
                    <w:rPr>
                      <w:rFonts w:ascii="Calibri" w:hAnsi="Calibri"/>
                    </w:rPr>
                    <w:t>□</w:t>
                  </w:r>
                  <w:r>
                    <w:rPr>
                      <w:rFonts w:hint="eastAsia"/>
                    </w:rPr>
                    <w:t>缺少</w:t>
                  </w:r>
                </w:p>
              </w:tc>
            </w:tr>
          </w:tbl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查看对设备维保的控制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提供了2020年维修保养计划。</w:t>
            </w:r>
          </w:p>
          <w:tbl>
            <w:tblPr>
              <w:tblStyle w:val="6"/>
              <w:tblW w:w="897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97"/>
              <w:gridCol w:w="1500"/>
              <w:gridCol w:w="1100"/>
              <w:gridCol w:w="1037"/>
              <w:gridCol w:w="374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317" w:hRule="atLeast"/>
              </w:trPr>
              <w:tc>
                <w:tcPr>
                  <w:tcW w:w="1597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《设备维保计划》</w:t>
                  </w:r>
                </w:p>
              </w:tc>
              <w:tc>
                <w:tcPr>
                  <w:tcW w:w="1500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设备名称</w:t>
                  </w:r>
                </w:p>
              </w:tc>
              <w:tc>
                <w:tcPr>
                  <w:tcW w:w="1100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维保日期</w:t>
                  </w:r>
                </w:p>
              </w:tc>
              <w:tc>
                <w:tcPr>
                  <w:tcW w:w="1037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维保周期</w:t>
                  </w:r>
                </w:p>
              </w:tc>
              <w:tc>
                <w:tcPr>
                  <w:tcW w:w="3743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维保内容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597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维保记录</w:t>
                  </w:r>
                </w:p>
              </w:tc>
              <w:tc>
                <w:tcPr>
                  <w:tcW w:w="1500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</w:rPr>
                    <w:t>绞磨机</w:t>
                  </w:r>
                </w:p>
              </w:tc>
              <w:tc>
                <w:tcPr>
                  <w:tcW w:w="1100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2020.4.12</w:t>
                  </w:r>
                </w:p>
              </w:tc>
              <w:tc>
                <w:tcPr>
                  <w:tcW w:w="1037" w:type="dxa"/>
                </w:tcPr>
                <w:p>
                  <w:pPr>
                    <w:spacing w:after="0" w:line="240" w:lineRule="auto"/>
                    <w:rPr>
                      <w:rFonts w:hint="eastAsia" w:ascii="Calibri" w:hAnsi="Calibri" w:eastAsia="宋体"/>
                      <w:lang w:val="en-US" w:eastAsia="zh-CN"/>
                    </w:rPr>
                  </w:pPr>
                  <w:r>
                    <w:rPr>
                      <w:rFonts w:hint="eastAsia" w:ascii="Calibri" w:hAnsi="Calibri"/>
                      <w:lang w:val="en-US" w:eastAsia="zh-CN"/>
                    </w:rPr>
                    <w:t>半年</w:t>
                  </w:r>
                </w:p>
              </w:tc>
              <w:tc>
                <w:tcPr>
                  <w:tcW w:w="3743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检查弹簧钢珠是否顶牢，如果没有，就必须进行更换；2</w:t>
                  </w:r>
                  <w:r>
                    <w:t>.</w:t>
                  </w:r>
                  <w:r>
                    <w:rPr>
                      <w:rFonts w:hint="eastAsia"/>
                    </w:rPr>
                    <w:t xml:space="preserve"> 对自动刹车和联锁刹车胶木的磨损情况进行检查，当发现不再满足使用的条件时，就要立即的进行更换；3</w:t>
                  </w:r>
                  <w:r>
                    <w:t>.</w:t>
                  </w:r>
                  <w:r>
                    <w:rPr>
                      <w:rFonts w:hint="eastAsia"/>
                    </w:rPr>
                    <w:t>紧固螺丝，添加润滑油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597" w:type="dxa"/>
                  <w:vAlign w:val="top"/>
                </w:tcPr>
                <w:p>
                  <w:pPr>
                    <w:spacing w:after="0" w:line="240" w:lineRule="auto"/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维保记录</w:t>
                  </w:r>
                </w:p>
              </w:tc>
              <w:tc>
                <w:tcPr>
                  <w:tcW w:w="1500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放线滑车</w:t>
                  </w:r>
                </w:p>
              </w:tc>
              <w:tc>
                <w:tcPr>
                  <w:tcW w:w="1100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  <w:lang w:val="en-US" w:eastAsia="zh-CN"/>
                    </w:rPr>
                    <w:t>2020.3.6</w:t>
                  </w:r>
                </w:p>
              </w:tc>
              <w:tc>
                <w:tcPr>
                  <w:tcW w:w="1037" w:type="dxa"/>
                </w:tcPr>
                <w:p>
                  <w:pPr>
                    <w:spacing w:after="0" w:line="240" w:lineRule="auto"/>
                    <w:rPr>
                      <w:rFonts w:ascii="Calibri" w:hAnsi="Calibri"/>
                    </w:rPr>
                  </w:pPr>
                  <w:r>
                    <w:rPr>
                      <w:rFonts w:hint="eastAsia" w:ascii="Calibri" w:hAnsi="Calibri"/>
                      <w:lang w:val="en-US" w:eastAsia="zh-CN"/>
                    </w:rPr>
                    <w:t>半年</w:t>
                  </w:r>
                </w:p>
              </w:tc>
              <w:tc>
                <w:tcPr>
                  <w:tcW w:w="3743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检查滚轮是否灵活好用，清洁表面。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597" w:type="dxa"/>
                  <w:vAlign w:val="top"/>
                </w:tcPr>
                <w:p>
                  <w:pPr>
                    <w:spacing w:after="0" w:line="240" w:lineRule="auto"/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维保记录</w:t>
                  </w:r>
                </w:p>
              </w:tc>
              <w:tc>
                <w:tcPr>
                  <w:tcW w:w="1500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交流弧焊机</w:t>
                  </w:r>
                </w:p>
              </w:tc>
              <w:tc>
                <w:tcPr>
                  <w:tcW w:w="1100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  <w:lang w:val="en-US" w:eastAsia="zh-CN"/>
                    </w:rPr>
                    <w:t>2020.4.8</w:t>
                  </w:r>
                </w:p>
              </w:tc>
              <w:tc>
                <w:tcPr>
                  <w:tcW w:w="1037" w:type="dxa"/>
                </w:tcPr>
                <w:p>
                  <w:pPr>
                    <w:spacing w:after="0" w:line="240" w:lineRule="auto"/>
                    <w:rPr>
                      <w:rFonts w:ascii="Calibri" w:hAnsi="Calibri"/>
                    </w:rPr>
                  </w:pPr>
                  <w:r>
                    <w:rPr>
                      <w:rFonts w:hint="eastAsia" w:ascii="Calibri" w:hAnsi="Calibri"/>
                      <w:lang w:val="en-US" w:eastAsia="zh-CN"/>
                    </w:rPr>
                    <w:t>半年</w:t>
                  </w:r>
                </w:p>
              </w:tc>
              <w:tc>
                <w:tcPr>
                  <w:tcW w:w="3743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注意电焊机的发热情况，注意电流不得超过其额定值。 清理各部尘垢，检查各紧固螺丝，防止松动。 检查控制线路有无脱焊、断头，螺丝松动等情况</w:t>
                  </w:r>
                </w:p>
              </w:tc>
            </w:tr>
          </w:tbl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查看对设备维修的控制</w:t>
            </w:r>
          </w:p>
          <w:tbl>
            <w:tblPr>
              <w:tblStyle w:val="6"/>
              <w:tblW w:w="897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25"/>
              <w:gridCol w:w="1732"/>
              <w:gridCol w:w="1704"/>
              <w:gridCol w:w="2141"/>
              <w:gridCol w:w="97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2425" w:type="dxa"/>
                </w:tcPr>
                <w:p>
                  <w:pPr>
                    <w:spacing w:after="0" w:line="240" w:lineRule="auto"/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设备维修记录</w:t>
                  </w:r>
                </w:p>
              </w:tc>
              <w:tc>
                <w:tcPr>
                  <w:tcW w:w="1732" w:type="dxa"/>
                </w:tcPr>
                <w:p>
                  <w:pPr>
                    <w:spacing w:after="0" w:line="240" w:lineRule="auto"/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设备名称</w:t>
                  </w:r>
                </w:p>
              </w:tc>
              <w:tc>
                <w:tcPr>
                  <w:tcW w:w="1704" w:type="dxa"/>
                </w:tcPr>
                <w:p>
                  <w:pPr>
                    <w:spacing w:after="0" w:line="240" w:lineRule="auto"/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维修日期</w:t>
                  </w:r>
                </w:p>
              </w:tc>
              <w:tc>
                <w:tcPr>
                  <w:tcW w:w="2141" w:type="dxa"/>
                </w:tcPr>
                <w:p>
                  <w:pPr>
                    <w:spacing w:after="0" w:line="240" w:lineRule="auto"/>
                    <w:rPr>
                      <w:rFonts w:ascii="Calibri" w:hAnsi="Calibri"/>
                      <w:highlight w:val="none"/>
                    </w:rPr>
                  </w:pPr>
                  <w:r>
                    <w:rPr>
                      <w:rFonts w:hint="eastAsia" w:ascii="Calibri" w:hAnsi="Calibri"/>
                      <w:highlight w:val="none"/>
                    </w:rPr>
                    <w:t>验收结果</w:t>
                  </w:r>
                </w:p>
              </w:tc>
              <w:tc>
                <w:tcPr>
                  <w:tcW w:w="975" w:type="dxa"/>
                </w:tcPr>
                <w:p>
                  <w:pPr>
                    <w:spacing w:after="0" w:line="240" w:lineRule="auto"/>
                    <w:rPr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2425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生产设备</w:t>
                  </w:r>
                </w:p>
              </w:tc>
              <w:tc>
                <w:tcPr>
                  <w:tcW w:w="1732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default" w:eastAsia="宋体"/>
                      <w:highlight w:val="none"/>
                      <w:lang w:val="en-US" w:eastAsia="zh-CN"/>
                    </w:rPr>
                    <w:t>切割机</w:t>
                  </w:r>
                </w:p>
              </w:tc>
              <w:tc>
                <w:tcPr>
                  <w:tcW w:w="1704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2020.3.12</w:t>
                  </w:r>
                </w:p>
              </w:tc>
              <w:tc>
                <w:tcPr>
                  <w:tcW w:w="2141" w:type="dxa"/>
                </w:tcPr>
                <w:p>
                  <w:pPr>
                    <w:spacing w:after="0" w:line="240" w:lineRule="auto"/>
                    <w:rPr>
                      <w:highlight w:val="none"/>
                    </w:rPr>
                  </w:pPr>
                  <w:r>
                    <w:rPr>
                      <w:rFonts w:hint="eastAsia" w:ascii="Calibri" w:hAnsi="Calibri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highlight w:val="none"/>
                    </w:rPr>
                    <w:t xml:space="preserve">合格 </w:t>
                  </w:r>
                  <w:r>
                    <w:rPr>
                      <w:rFonts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>缺少</w:t>
                  </w:r>
                </w:p>
              </w:tc>
              <w:tc>
                <w:tcPr>
                  <w:tcW w:w="975" w:type="dxa"/>
                </w:tcPr>
                <w:p>
                  <w:pPr>
                    <w:spacing w:after="0" w:line="240" w:lineRule="auto"/>
                    <w:rPr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2425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生产设备</w:t>
                  </w:r>
                </w:p>
              </w:tc>
              <w:tc>
                <w:tcPr>
                  <w:tcW w:w="1732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</w:rPr>
                    <w:t>绞磨机</w:t>
                  </w:r>
                </w:p>
              </w:tc>
              <w:tc>
                <w:tcPr>
                  <w:tcW w:w="1704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2020.4.12</w:t>
                  </w:r>
                </w:p>
              </w:tc>
              <w:tc>
                <w:tcPr>
                  <w:tcW w:w="2141" w:type="dxa"/>
                  <w:vAlign w:val="top"/>
                </w:tcPr>
                <w:p>
                  <w:pPr>
                    <w:spacing w:after="0" w:line="240" w:lineRule="auto"/>
                    <w:rPr>
                      <w:rFonts w:ascii="Calibri" w:hAnsi="Calibri"/>
                      <w:highlight w:val="none"/>
                    </w:rPr>
                  </w:pPr>
                  <w:r>
                    <w:rPr>
                      <w:rFonts w:hint="eastAsia" w:ascii="Calibri" w:hAnsi="Calibri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highlight w:val="none"/>
                    </w:rPr>
                    <w:t xml:space="preserve">合格 </w:t>
                  </w:r>
                  <w:r>
                    <w:rPr>
                      <w:rFonts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>缺少</w:t>
                  </w:r>
                </w:p>
              </w:tc>
              <w:tc>
                <w:tcPr>
                  <w:tcW w:w="975" w:type="dxa"/>
                </w:tcPr>
                <w:p>
                  <w:pPr>
                    <w:spacing w:after="0" w:line="240" w:lineRule="auto"/>
                    <w:rPr>
                      <w:highlight w:val="none"/>
                    </w:rPr>
                  </w:pPr>
                </w:p>
              </w:tc>
            </w:tr>
          </w:tbl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设备完好情况</w:t>
            </w:r>
          </w:p>
          <w:p>
            <w:pPr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是否发生设备故障引起停产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 w:ascii="Calibri" w:hAnsi="Calibri"/>
                <w:lang w:eastAsia="zh-CN"/>
              </w:rPr>
              <w:sym w:font="Wingdings 2" w:char="0052"/>
            </w:r>
            <w:r>
              <w:rPr>
                <w:rFonts w:hint="eastAsia"/>
              </w:rPr>
              <w:t>未发生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 w:ascii="Calibri" w:hAnsi="Calibri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已发生</w:t>
            </w:r>
          </w:p>
          <w:tbl>
            <w:tblPr>
              <w:tblStyle w:val="6"/>
              <w:tblW w:w="897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79"/>
              <w:gridCol w:w="1363"/>
              <w:gridCol w:w="1817"/>
              <w:gridCol w:w="1920"/>
              <w:gridCol w:w="189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979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设备故障引起停产</w:t>
                  </w:r>
                  <w:r>
                    <w:rPr>
                      <w:rFonts w:hint="eastAsia"/>
                      <w:lang w:val="en-US" w:eastAsia="zh-CN"/>
                    </w:rPr>
                    <w:t>描述</w:t>
                  </w:r>
                </w:p>
              </w:tc>
              <w:tc>
                <w:tcPr>
                  <w:tcW w:w="1363" w:type="dxa"/>
                  <w:vAlign w:val="top"/>
                </w:tcPr>
                <w:p>
                  <w:pPr>
                    <w:spacing w:after="0" w:line="240" w:lineRule="auto"/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发生日期</w:t>
                  </w:r>
                </w:p>
              </w:tc>
              <w:tc>
                <w:tcPr>
                  <w:tcW w:w="1817" w:type="dxa"/>
                  <w:vAlign w:val="top"/>
                </w:tcPr>
                <w:p>
                  <w:pPr>
                    <w:spacing w:after="0" w:line="240" w:lineRule="auto"/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Calibri" w:hAnsi="Calibri"/>
                    </w:rPr>
                    <w:t>停机时间</w:t>
                  </w:r>
                  <w:r>
                    <w:rPr>
                      <w:rFonts w:hint="eastAsia" w:ascii="Calibri" w:hAnsi="Calibri"/>
                      <w:lang w:eastAsia="zh-CN"/>
                    </w:rPr>
                    <w:t>（</w:t>
                  </w:r>
                  <w:r>
                    <w:rPr>
                      <w:rFonts w:hint="eastAsia" w:ascii="Calibri" w:hAnsi="Calibri"/>
                      <w:lang w:val="en-US" w:eastAsia="zh-CN"/>
                    </w:rPr>
                    <w:t>小时</w:t>
                  </w:r>
                  <w:r>
                    <w:rPr>
                      <w:rFonts w:hint="eastAsia" w:ascii="Calibri" w:hAnsi="Calibri"/>
                      <w:lang w:eastAsia="zh-CN"/>
                    </w:rPr>
                    <w:t>）</w:t>
                  </w:r>
                </w:p>
              </w:tc>
              <w:tc>
                <w:tcPr>
                  <w:tcW w:w="1920" w:type="dxa"/>
                  <w:vAlign w:val="top"/>
                </w:tcPr>
                <w:p>
                  <w:pPr>
                    <w:spacing w:after="0" w:line="240" w:lineRule="auto"/>
                    <w:rPr>
                      <w:rFonts w:hint="default" w:ascii="Calibri" w:hAnsi="Calibri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Calibri" w:hAnsi="Calibri" w:cs="Times New Roman"/>
                      <w:kern w:val="2"/>
                      <w:sz w:val="21"/>
                      <w:lang w:val="en-US" w:eastAsia="zh-CN" w:bidi="ar-SA"/>
                    </w:rPr>
                    <w:t>是否影响产品质量</w:t>
                  </w:r>
                </w:p>
              </w:tc>
              <w:tc>
                <w:tcPr>
                  <w:tcW w:w="1898" w:type="dxa"/>
                  <w:vAlign w:val="top"/>
                </w:tcPr>
                <w:p>
                  <w:pPr>
                    <w:spacing w:after="0" w:line="240" w:lineRule="auto"/>
                    <w:rPr>
                      <w:rFonts w:hint="default" w:ascii="Calibri" w:hAnsi="Calibri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Calibri" w:hAnsi="Calibri" w:cs="Times New Roman"/>
                      <w:kern w:val="2"/>
                      <w:sz w:val="21"/>
                      <w:lang w:val="en-US" w:eastAsia="zh-CN" w:bidi="ar-SA"/>
                    </w:rPr>
                    <w:t>是否影响交付进度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7" w:hRule="atLeast"/>
              </w:trPr>
              <w:tc>
                <w:tcPr>
                  <w:tcW w:w="1979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--</w:t>
                  </w:r>
                </w:p>
              </w:tc>
              <w:tc>
                <w:tcPr>
                  <w:tcW w:w="1363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817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920" w:type="dxa"/>
                </w:tcPr>
                <w:p>
                  <w:pPr>
                    <w:spacing w:after="0" w:line="240" w:lineRule="auto"/>
                    <w:rPr>
                      <w:rFonts w:hint="eastAsia" w:ascii="Calibri" w:hAnsi="Calibri" w:eastAsia="宋体"/>
                      <w:lang w:eastAsia="zh-CN"/>
                    </w:rPr>
                  </w:pPr>
                </w:p>
              </w:tc>
              <w:tc>
                <w:tcPr>
                  <w:tcW w:w="1898" w:type="dxa"/>
                </w:tcPr>
                <w:p>
                  <w:pPr>
                    <w:spacing w:after="0" w:line="240" w:lineRule="auto"/>
                  </w:pPr>
                </w:p>
              </w:tc>
            </w:tr>
          </w:tbl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特种设备控制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u w:val="none"/>
                <w:vertAlign w:val="baseline"/>
                <w:lang w:val="en-US" w:eastAsia="zh-CN"/>
              </w:rPr>
              <w:t>特种设备种类</w:t>
            </w:r>
            <w:r>
              <w:rPr>
                <w:rFonts w:hint="eastAsia"/>
                <w:vertAlign w:val="baseline"/>
                <w:lang w:val="en-US" w:eastAsia="zh-CN"/>
              </w:rPr>
              <w:t>：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u w:val="none"/>
                <w:vertAlign w:val="baseline"/>
                <w:lang w:val="en-US" w:eastAsia="zh-CN"/>
              </w:rPr>
              <w:t xml:space="preserve">叉车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>行</w:t>
            </w:r>
            <w:r>
              <w:rPr>
                <w:rFonts w:hint="eastAsia"/>
                <w:u w:val="none"/>
                <w:vertAlign w:val="baseline"/>
                <w:lang w:val="en-US" w:eastAsia="zh-CN"/>
              </w:rPr>
              <w:t xml:space="preserve">车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锅炉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电梯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压力容器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压力管道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 xml:space="preserve">不适用  </w:t>
            </w:r>
          </w:p>
          <w:tbl>
            <w:tblPr>
              <w:tblStyle w:val="6"/>
              <w:tblW w:w="903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45"/>
              <w:gridCol w:w="1297"/>
              <w:gridCol w:w="1744"/>
              <w:gridCol w:w="1820"/>
              <w:gridCol w:w="1706"/>
              <w:gridCol w:w="132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5" w:hRule="atLeast"/>
              </w:trPr>
              <w:tc>
                <w:tcPr>
                  <w:tcW w:w="1145" w:type="dxa"/>
                </w:tcPr>
                <w:p>
                  <w:pPr>
                    <w:spacing w:after="0" w:line="240" w:lineRule="auto"/>
                    <w:rPr>
                      <w:rFonts w:hint="eastAsia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设备</w:t>
                  </w:r>
                  <w:r>
                    <w:rPr>
                      <w:rFonts w:hint="eastAsia"/>
                      <w:lang w:val="en-US" w:eastAsia="zh-CN"/>
                    </w:rPr>
                    <w:t>名称</w:t>
                  </w:r>
                </w:p>
              </w:tc>
              <w:tc>
                <w:tcPr>
                  <w:tcW w:w="1297" w:type="dxa"/>
                </w:tcPr>
                <w:p>
                  <w:pPr>
                    <w:spacing w:after="0" w:line="240" w:lineRule="auto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编号</w:t>
                  </w:r>
                </w:p>
              </w:tc>
              <w:tc>
                <w:tcPr>
                  <w:tcW w:w="1744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《定期检测报告》编号</w:t>
                  </w:r>
                </w:p>
              </w:tc>
              <w:tc>
                <w:tcPr>
                  <w:tcW w:w="1820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有效期期限</w:t>
                  </w:r>
                </w:p>
              </w:tc>
              <w:tc>
                <w:tcPr>
                  <w:tcW w:w="1706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结论</w:t>
                  </w:r>
                </w:p>
              </w:tc>
              <w:tc>
                <w:tcPr>
                  <w:tcW w:w="1327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《使用登记证》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6" w:hRule="atLeast"/>
              </w:trPr>
              <w:tc>
                <w:tcPr>
                  <w:tcW w:w="1145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297" w:type="dxa"/>
                </w:tcPr>
                <w:p>
                  <w:pPr>
                    <w:spacing w:after="0" w:line="240" w:lineRule="auto"/>
                    <w:rPr>
                      <w:rFonts w:hint="eastAsia"/>
                    </w:rPr>
                  </w:pPr>
                </w:p>
              </w:tc>
              <w:tc>
                <w:tcPr>
                  <w:tcW w:w="1744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820" w:type="dxa"/>
                </w:tcPr>
                <w:p>
                  <w:pPr>
                    <w:spacing w:after="0" w:line="240" w:lineRule="auto"/>
                    <w:rPr>
                      <w:rFonts w:hint="eastAsia" w:eastAsia="宋体"/>
                      <w:lang w:val="en-US" w:eastAsia="zh-CN"/>
                    </w:rPr>
                  </w:pPr>
                </w:p>
              </w:tc>
              <w:tc>
                <w:tcPr>
                  <w:tcW w:w="1706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ascii="Calibri" w:hAnsi="Calibri"/>
                    </w:rPr>
                    <w:sym w:font="Wingdings 2" w:char="00A3"/>
                  </w:r>
                  <w:r>
                    <w:rPr>
                      <w:rFonts w:hint="eastAsia"/>
                    </w:rPr>
                    <w:t xml:space="preserve">有效  </w:t>
                  </w:r>
                  <w:r>
                    <w:rPr>
                      <w:rFonts w:ascii="Calibri" w:hAnsi="Calibri"/>
                    </w:rPr>
                    <w:t>□</w:t>
                  </w:r>
                  <w:r>
                    <w:rPr>
                      <w:rFonts w:hint="eastAsia"/>
                    </w:rPr>
                    <w:t>过期</w:t>
                  </w:r>
                </w:p>
              </w:tc>
              <w:tc>
                <w:tcPr>
                  <w:tcW w:w="1327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ascii="Calibri" w:hAnsi="Calibri"/>
                    </w:rPr>
                    <w:sym w:font="Wingdings 2" w:char="00A3"/>
                  </w:r>
                  <w:r>
                    <w:rPr>
                      <w:rFonts w:hint="eastAsia"/>
                    </w:rPr>
                    <w:t xml:space="preserve">有  </w:t>
                  </w:r>
                  <w:r>
                    <w:rPr>
                      <w:rFonts w:ascii="Calibri" w:hAnsi="Calibri"/>
                    </w:rPr>
                    <w:t>□</w:t>
                  </w:r>
                  <w:r>
                    <w:rPr>
                      <w:rFonts w:hint="eastAsia"/>
                      <w:lang w:val="en-US" w:eastAsia="zh-CN"/>
                    </w:rPr>
                    <w:t>无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1145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</w:p>
              </w:tc>
              <w:tc>
                <w:tcPr>
                  <w:tcW w:w="1297" w:type="dxa"/>
                </w:tcPr>
                <w:p>
                  <w:pPr>
                    <w:spacing w:after="0" w:line="240" w:lineRule="auto"/>
                    <w:rPr>
                      <w:rFonts w:hint="default"/>
                      <w:lang w:val="en-US" w:eastAsia="zh-CN"/>
                    </w:rPr>
                  </w:pPr>
                </w:p>
              </w:tc>
              <w:tc>
                <w:tcPr>
                  <w:tcW w:w="1744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</w:p>
              </w:tc>
              <w:tc>
                <w:tcPr>
                  <w:tcW w:w="1820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1706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ascii="Calibri" w:hAnsi="Calibri"/>
                    </w:rPr>
                    <w:sym w:font="Wingdings 2" w:char="00A3"/>
                  </w:r>
                  <w:r>
                    <w:rPr>
                      <w:rFonts w:hint="eastAsia"/>
                    </w:rPr>
                    <w:t xml:space="preserve">有效  </w:t>
                  </w:r>
                  <w:r>
                    <w:rPr>
                      <w:rFonts w:ascii="Calibri" w:hAnsi="Calibri"/>
                    </w:rPr>
                    <w:t>□</w:t>
                  </w:r>
                  <w:r>
                    <w:rPr>
                      <w:rFonts w:hint="eastAsia"/>
                    </w:rPr>
                    <w:t>过期</w:t>
                  </w:r>
                </w:p>
              </w:tc>
              <w:tc>
                <w:tcPr>
                  <w:tcW w:w="1327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ascii="Calibri" w:hAnsi="Calibri"/>
                    </w:rPr>
                    <w:sym w:font="Wingdings 2" w:char="00A3"/>
                  </w:r>
                  <w:r>
                    <w:rPr>
                      <w:rFonts w:hint="eastAsia"/>
                    </w:rPr>
                    <w:t xml:space="preserve">有  </w:t>
                  </w:r>
                  <w:r>
                    <w:rPr>
                      <w:rFonts w:ascii="Calibri" w:hAnsi="Calibri"/>
                    </w:rPr>
                    <w:t>□</w:t>
                  </w:r>
                  <w:r>
                    <w:rPr>
                      <w:rFonts w:hint="eastAsia"/>
                      <w:lang w:val="en-US" w:eastAsia="zh-CN"/>
                    </w:rPr>
                    <w:t>无</w:t>
                  </w:r>
                </w:p>
              </w:tc>
            </w:tr>
          </w:tbl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tbl>
            <w:tblPr>
              <w:tblStyle w:val="6"/>
              <w:tblW w:w="897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23"/>
              <w:gridCol w:w="1041"/>
              <w:gridCol w:w="1993"/>
              <w:gridCol w:w="1808"/>
              <w:gridCol w:w="1638"/>
              <w:gridCol w:w="137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64" w:type="dxa"/>
                  <w:gridSpan w:val="2"/>
                  <w:shd w:val="clear" w:color="auto" w:fill="auto"/>
                </w:tcPr>
                <w:p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特种设备维护保养</w:t>
                  </w:r>
                </w:p>
              </w:tc>
              <w:tc>
                <w:tcPr>
                  <w:tcW w:w="1993" w:type="dxa"/>
                  <w:shd w:val="clear" w:color="auto" w:fill="auto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808" w:type="dxa"/>
                  <w:shd w:val="clear" w:color="auto" w:fill="auto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638" w:type="dxa"/>
                  <w:shd w:val="clear" w:color="auto" w:fill="auto"/>
                </w:tcPr>
                <w:p>
                  <w:pPr>
                    <w:spacing w:after="0" w:line="240" w:lineRule="auto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374" w:type="dxa"/>
                  <w:shd w:val="clear" w:color="auto" w:fill="auto"/>
                </w:tcPr>
                <w:p>
                  <w:pPr>
                    <w:spacing w:after="0" w:line="240" w:lineRule="auto"/>
                    <w:rPr>
                      <w:rFonts w:ascii="Calibri" w:hAnsi="Calibri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5" w:hRule="atLeast"/>
              </w:trPr>
              <w:tc>
                <w:tcPr>
                  <w:tcW w:w="2164" w:type="dxa"/>
                  <w:gridSpan w:val="2"/>
                  <w:vMerge w:val="restart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自检</w:t>
                  </w:r>
                </w:p>
                <w:p>
                  <w:pPr>
                    <w:spacing w:after="0" w:line="240" w:lineRule="auto"/>
                  </w:pPr>
                </w:p>
              </w:tc>
              <w:tc>
                <w:tcPr>
                  <w:tcW w:w="1993" w:type="dxa"/>
                </w:tcPr>
                <w:p>
                  <w:pPr>
                    <w:spacing w:after="0" w:line="240" w:lineRule="auto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维保计划</w:t>
                  </w:r>
                </w:p>
              </w:tc>
              <w:tc>
                <w:tcPr>
                  <w:tcW w:w="1808" w:type="dxa"/>
                </w:tcPr>
                <w:p>
                  <w:pPr>
                    <w:spacing w:after="0" w:line="240" w:lineRule="auto"/>
                    <w:rPr>
                      <w:rFonts w:hint="eastAsia" w:eastAsia="宋体"/>
                      <w:lang w:val="en-US" w:eastAsia="zh-CN"/>
                    </w:rPr>
                  </w:pPr>
                  <w:r>
                    <w:rPr>
                      <w:rFonts w:hint="eastAsia" w:ascii="Calibri" w:hAnsi="Calibri"/>
                      <w:lang w:eastAsia="zh-CN"/>
                    </w:rPr>
                    <w:sym w:font="Wingdings 2" w:char="00A3"/>
                  </w:r>
                  <w:r>
                    <w:rPr>
                      <w:rFonts w:hint="eastAsia"/>
                    </w:rPr>
                    <w:t xml:space="preserve">有  </w:t>
                  </w:r>
                  <w:r>
                    <w:rPr>
                      <w:rFonts w:hint="eastAsia" w:ascii="Calibri" w:hAnsi="Calibri"/>
                      <w:lang w:eastAsia="zh-CN"/>
                    </w:rPr>
                    <w:t>□</w:t>
                  </w:r>
                  <w:r>
                    <w:rPr>
                      <w:rFonts w:hint="eastAsia"/>
                      <w:lang w:val="en-US" w:eastAsia="zh-CN"/>
                    </w:rPr>
                    <w:t>无</w:t>
                  </w:r>
                </w:p>
              </w:tc>
              <w:tc>
                <w:tcPr>
                  <w:tcW w:w="1638" w:type="dxa"/>
                </w:tcPr>
                <w:p>
                  <w:pPr>
                    <w:spacing w:after="0" w:line="240" w:lineRule="auto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374" w:type="dxa"/>
                </w:tcPr>
                <w:p>
                  <w:pPr>
                    <w:spacing w:after="0" w:line="240" w:lineRule="auto"/>
                    <w:rPr>
                      <w:rFonts w:ascii="Calibri" w:hAnsi="Calibri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5" w:hRule="atLeast"/>
              </w:trPr>
              <w:tc>
                <w:tcPr>
                  <w:tcW w:w="2164" w:type="dxa"/>
                  <w:gridSpan w:val="2"/>
                  <w:vMerge w:val="continue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993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设备名称</w:t>
                  </w:r>
                </w:p>
              </w:tc>
              <w:tc>
                <w:tcPr>
                  <w:tcW w:w="1808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Calibri" w:hAnsi="Calibri"/>
                      <w:lang w:eastAsia="zh-CN"/>
                    </w:rPr>
                  </w:pPr>
                  <w:r>
                    <w:rPr>
                      <w:rFonts w:hint="eastAsia"/>
                      <w:highlight w:val="none"/>
                    </w:rPr>
                    <w:t>维保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日期</w:t>
                  </w:r>
                </w:p>
              </w:tc>
              <w:tc>
                <w:tcPr>
                  <w:tcW w:w="1638" w:type="dxa"/>
                  <w:vAlign w:val="top"/>
                </w:tcPr>
                <w:p>
                  <w:pPr>
                    <w:spacing w:after="0" w:line="240" w:lineRule="auto"/>
                    <w:rPr>
                      <w:rFonts w:hint="default" w:ascii="Calibri" w:hAnsi="Calibri" w:eastAsia="宋体"/>
                      <w:lang w:val="en-US" w:eastAsia="zh-CN"/>
                    </w:rPr>
                  </w:pPr>
                  <w:r>
                    <w:rPr>
                      <w:rFonts w:hint="eastAsia" w:ascii="Calibri" w:hAnsi="Calibri"/>
                      <w:highlight w:val="none"/>
                      <w:lang w:val="en-US" w:eastAsia="zh-CN"/>
                    </w:rPr>
                    <w:t>维修内容</w:t>
                  </w:r>
                </w:p>
              </w:tc>
              <w:tc>
                <w:tcPr>
                  <w:tcW w:w="1374" w:type="dxa"/>
                  <w:vAlign w:val="top"/>
                </w:tcPr>
                <w:p>
                  <w:pPr>
                    <w:spacing w:after="0" w:line="240" w:lineRule="auto"/>
                    <w:rPr>
                      <w:rFonts w:hint="default" w:ascii="Calibri" w:hAnsi="Calibri" w:eastAsia="宋体"/>
                      <w:lang w:val="en-US" w:eastAsia="zh-CN"/>
                    </w:rPr>
                  </w:pPr>
                  <w:r>
                    <w:rPr>
                      <w:rFonts w:hint="eastAsia" w:ascii="Calibri" w:hAnsi="Calibri"/>
                      <w:highlight w:val="none"/>
                      <w:lang w:val="en-US" w:eastAsia="zh-CN"/>
                    </w:rPr>
                    <w:t>验证结果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9" w:hRule="atLeast"/>
              </w:trPr>
              <w:tc>
                <w:tcPr>
                  <w:tcW w:w="2164" w:type="dxa"/>
                  <w:gridSpan w:val="2"/>
                  <w:vMerge w:val="continue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993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1808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/>
                    </w:rPr>
                  </w:pPr>
                </w:p>
              </w:tc>
              <w:tc>
                <w:tcPr>
                  <w:tcW w:w="1638" w:type="dxa"/>
                  <w:vAlign w:val="top"/>
                </w:tcPr>
                <w:p>
                  <w:pPr>
                    <w:spacing w:after="0" w:line="240" w:lineRule="auto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374" w:type="dxa"/>
                  <w:vAlign w:val="top"/>
                </w:tcPr>
                <w:p>
                  <w:pPr>
                    <w:spacing w:after="0" w:line="240" w:lineRule="auto"/>
                    <w:rPr>
                      <w:rFonts w:hint="default" w:ascii="Calibri" w:hAnsi="Calibri" w:eastAsia="宋体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9" w:hRule="atLeast"/>
              </w:trPr>
              <w:tc>
                <w:tcPr>
                  <w:tcW w:w="2164" w:type="dxa"/>
                  <w:gridSpan w:val="2"/>
                  <w:vMerge w:val="continue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993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1808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/>
                    </w:rPr>
                  </w:pPr>
                </w:p>
              </w:tc>
              <w:tc>
                <w:tcPr>
                  <w:tcW w:w="1638" w:type="dxa"/>
                  <w:vAlign w:val="top"/>
                </w:tcPr>
                <w:p>
                  <w:pPr>
                    <w:spacing w:after="0" w:line="240" w:lineRule="auto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374" w:type="dxa"/>
                  <w:vAlign w:val="top"/>
                </w:tcPr>
                <w:p>
                  <w:pPr>
                    <w:spacing w:after="0" w:line="240" w:lineRule="auto"/>
                    <w:rPr>
                      <w:rFonts w:ascii="Calibri" w:hAnsi="Calibri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64" w:type="dxa"/>
                  <w:gridSpan w:val="2"/>
                  <w:vMerge w:val="restart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外包</w:t>
                  </w:r>
                </w:p>
              </w:tc>
              <w:tc>
                <w:tcPr>
                  <w:tcW w:w="1993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外包方名称：</w:t>
                  </w:r>
                </w:p>
              </w:tc>
              <w:tc>
                <w:tcPr>
                  <w:tcW w:w="1808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维保合同</w:t>
                  </w:r>
                  <w:r>
                    <w:rPr>
                      <w:rFonts w:hint="eastAsia"/>
                      <w:lang w:val="en-US" w:eastAsia="zh-CN"/>
                    </w:rPr>
                    <w:t>期限</w:t>
                  </w:r>
                </w:p>
              </w:tc>
              <w:tc>
                <w:tcPr>
                  <w:tcW w:w="1638" w:type="dxa"/>
                </w:tcPr>
                <w:p>
                  <w:pPr>
                    <w:spacing w:after="0" w:line="240" w:lineRule="auto"/>
                    <w:rPr>
                      <w:rFonts w:ascii="Calibri" w:hAnsi="Calibri"/>
                    </w:rPr>
                  </w:pPr>
                  <w:r>
                    <w:rPr>
                      <w:rFonts w:hint="eastAsia" w:ascii="Calibri" w:hAnsi="Calibri"/>
                    </w:rPr>
                    <w:t>相关资质证书</w:t>
                  </w:r>
                </w:p>
              </w:tc>
              <w:tc>
                <w:tcPr>
                  <w:tcW w:w="1374" w:type="dxa"/>
                </w:tcPr>
                <w:p>
                  <w:pPr>
                    <w:spacing w:after="0" w:line="240" w:lineRule="auto"/>
                    <w:rPr>
                      <w:rFonts w:ascii="Calibri" w:hAnsi="Calibri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64" w:type="dxa"/>
                  <w:gridSpan w:val="2"/>
                  <w:vMerge w:val="continue"/>
                </w:tcPr>
                <w:p>
                  <w:pPr>
                    <w:spacing w:after="0" w:line="240" w:lineRule="auto"/>
                    <w:rPr>
                      <w:rFonts w:hint="eastAsia"/>
                    </w:rPr>
                  </w:pPr>
                </w:p>
              </w:tc>
              <w:tc>
                <w:tcPr>
                  <w:tcW w:w="1993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--</w:t>
                  </w:r>
                </w:p>
              </w:tc>
              <w:tc>
                <w:tcPr>
                  <w:tcW w:w="1808" w:type="dxa"/>
                </w:tcPr>
                <w:p>
                  <w:pPr>
                    <w:spacing w:after="0" w:line="240" w:lineRule="auto"/>
                    <w:ind w:firstLine="630" w:firstLineChars="300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至</w:t>
                  </w:r>
                </w:p>
              </w:tc>
              <w:tc>
                <w:tcPr>
                  <w:tcW w:w="1638" w:type="dxa"/>
                </w:tcPr>
                <w:p>
                  <w:pPr>
                    <w:spacing w:after="0" w:line="240" w:lineRule="auto"/>
                    <w:rPr>
                      <w:rFonts w:hint="eastAsia" w:ascii="Calibri" w:hAnsi="Calibri"/>
                    </w:rPr>
                  </w:pPr>
                </w:p>
              </w:tc>
              <w:tc>
                <w:tcPr>
                  <w:tcW w:w="1374" w:type="dxa"/>
                </w:tcPr>
                <w:p>
                  <w:pPr>
                    <w:spacing w:after="0" w:line="240" w:lineRule="auto"/>
                    <w:rPr>
                      <w:rFonts w:ascii="Calibri" w:hAnsi="Calibri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64" w:type="dxa"/>
                  <w:gridSpan w:val="2"/>
                  <w:shd w:val="clear" w:color="auto" w:fill="auto"/>
                </w:tcPr>
                <w:p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特种设备日常点检</w:t>
                  </w:r>
                </w:p>
              </w:tc>
              <w:tc>
                <w:tcPr>
                  <w:tcW w:w="1993" w:type="dxa"/>
                  <w:shd w:val="clear" w:color="auto" w:fill="auto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808" w:type="dxa"/>
                  <w:shd w:val="clear" w:color="auto" w:fill="auto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638" w:type="dxa"/>
                  <w:shd w:val="clear" w:color="auto" w:fill="auto"/>
                </w:tcPr>
                <w:p>
                  <w:pPr>
                    <w:spacing w:after="0" w:line="240" w:lineRule="auto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374" w:type="dxa"/>
                  <w:shd w:val="clear" w:color="auto" w:fill="auto"/>
                </w:tcPr>
                <w:p>
                  <w:pPr>
                    <w:spacing w:after="0" w:line="240" w:lineRule="auto"/>
                    <w:rPr>
                      <w:rFonts w:ascii="Calibri" w:hAnsi="Calibri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23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抽查设备</w:t>
                  </w:r>
                </w:p>
              </w:tc>
              <w:tc>
                <w:tcPr>
                  <w:tcW w:w="1041" w:type="dxa"/>
                </w:tcPr>
                <w:p>
                  <w:pPr>
                    <w:spacing w:after="0" w:line="240" w:lineRule="auto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编号</w:t>
                  </w:r>
                </w:p>
              </w:tc>
              <w:tc>
                <w:tcPr>
                  <w:tcW w:w="1993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抽查点检记录的月份</w:t>
                  </w:r>
                </w:p>
              </w:tc>
              <w:tc>
                <w:tcPr>
                  <w:tcW w:w="1808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现场查看设备的完好情况</w:t>
                  </w:r>
                </w:p>
              </w:tc>
              <w:tc>
                <w:tcPr>
                  <w:tcW w:w="1638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结论</w:t>
                  </w:r>
                </w:p>
              </w:tc>
              <w:tc>
                <w:tcPr>
                  <w:tcW w:w="1374" w:type="dxa"/>
                </w:tcPr>
                <w:p>
                  <w:pPr>
                    <w:spacing w:after="0" w:line="240" w:lineRule="auto"/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23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041" w:type="dxa"/>
                  <w:vAlign w:val="top"/>
                </w:tcPr>
                <w:p>
                  <w:pPr>
                    <w:spacing w:after="0" w:line="240" w:lineRule="auto"/>
                    <w:jc w:val="left"/>
                    <w:rPr>
                      <w:rFonts w:hint="eastAsia"/>
                    </w:rPr>
                  </w:pPr>
                </w:p>
              </w:tc>
              <w:tc>
                <w:tcPr>
                  <w:tcW w:w="1993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1808" w:type="dxa"/>
                  <w:vAlign w:val="top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638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ascii="Calibri" w:hAnsi="Calibri"/>
                      <w:highlight w:val="none"/>
                      <w:lang w:eastAsia="zh-CN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完好</w:t>
                  </w:r>
                  <w:r>
                    <w:rPr>
                      <w:rFonts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不完好</w:t>
                  </w:r>
                </w:p>
              </w:tc>
              <w:tc>
                <w:tcPr>
                  <w:tcW w:w="1374" w:type="dxa"/>
                  <w:vAlign w:val="top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hint="eastAsia"/>
                      <w:highlight w:val="none"/>
                    </w:rPr>
                    <w:t xml:space="preserve"> 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23" w:type="dxa"/>
                </w:tcPr>
                <w:p>
                  <w:pPr>
                    <w:spacing w:after="0" w:line="240" w:lineRule="auto"/>
                    <w:rPr>
                      <w:rFonts w:hint="eastAsia" w:eastAsia="宋体"/>
                      <w:color w:val="auto"/>
                      <w:lang w:eastAsia="zh-CN"/>
                    </w:rPr>
                  </w:pPr>
                </w:p>
              </w:tc>
              <w:tc>
                <w:tcPr>
                  <w:tcW w:w="1041" w:type="dxa"/>
                </w:tcPr>
                <w:p>
                  <w:pPr>
                    <w:spacing w:after="0" w:line="240" w:lineRule="auto"/>
                    <w:rPr>
                      <w:rFonts w:hint="eastAsia"/>
                    </w:rPr>
                  </w:pPr>
                </w:p>
              </w:tc>
              <w:tc>
                <w:tcPr>
                  <w:tcW w:w="1993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</w:p>
              </w:tc>
              <w:tc>
                <w:tcPr>
                  <w:tcW w:w="1808" w:type="dxa"/>
                  <w:vAlign w:val="top"/>
                </w:tcPr>
                <w:p>
                  <w:pPr>
                    <w:spacing w:after="0" w:line="240" w:lineRule="auto"/>
                    <w:rPr>
                      <w:rFonts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</w:p>
              </w:tc>
              <w:tc>
                <w:tcPr>
                  <w:tcW w:w="1638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 w:ascii="Calibri" w:hAnsi="Calibri"/>
                      <w:highlight w:val="none"/>
                      <w:lang w:eastAsia="zh-CN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完好</w:t>
                  </w:r>
                  <w:r>
                    <w:rPr>
                      <w:rFonts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不完好</w:t>
                  </w:r>
                </w:p>
              </w:tc>
              <w:tc>
                <w:tcPr>
                  <w:tcW w:w="1374" w:type="dxa"/>
                </w:tcPr>
                <w:p>
                  <w:pPr>
                    <w:spacing w:after="0" w:line="240" w:lineRule="auto"/>
                  </w:pPr>
                </w:p>
              </w:tc>
            </w:tr>
          </w:tbl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149" w:type="dxa"/>
            <w:vMerge w:val="continue"/>
          </w:tcPr>
          <w:p>
            <w:pPr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566" w:type="dxa"/>
            <w:vMerge w:val="restart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过程运行环境</w:t>
            </w:r>
          </w:p>
          <w:p/>
        </w:tc>
        <w:tc>
          <w:tcPr>
            <w:tcW w:w="81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 xml:space="preserve">7.1.4 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423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  <w:vertAlign w:val="baseline"/>
                <w:lang w:val="en-US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《</w:t>
            </w:r>
            <w:r>
              <w:rPr>
                <w:rFonts w:hint="eastAsia"/>
              </w:rPr>
              <w:t>运行控制</w:t>
            </w:r>
            <w:r>
              <w:rPr>
                <w:rFonts w:hint="eastAsia"/>
                <w:lang w:val="en-US" w:eastAsia="zh-CN"/>
              </w:rPr>
              <w:t>程序》、</w:t>
            </w:r>
            <w:r>
              <w:rPr>
                <w:rFonts w:hint="eastAsia"/>
                <w:vertAlign w:val="baseline"/>
                <w:lang w:val="en-US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手册第7.1.4条款</w:t>
            </w:r>
          </w:p>
        </w:tc>
        <w:tc>
          <w:tcPr>
            <w:tcW w:w="1149" w:type="dxa"/>
            <w:vMerge w:val="restart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  <w:p>
            <w:pPr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423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组织确定、提供并维护所需的环境，以运行过程，并获得合格产品和服务。 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33"/>
              <w:gridCol w:w="3840"/>
              <w:gridCol w:w="307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过程运行环境因素</w:t>
                  </w:r>
                </w:p>
              </w:tc>
              <w:tc>
                <w:tcPr>
                  <w:tcW w:w="3840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070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控制方法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t>社会因素</w:t>
                  </w:r>
                </w:p>
              </w:tc>
              <w:tc>
                <w:tcPr>
                  <w:tcW w:w="3840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非歧视</w:t>
                  </w: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安定</w:t>
                  </w: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非对抗</w:t>
                  </w:r>
                </w:p>
              </w:tc>
              <w:tc>
                <w:tcPr>
                  <w:tcW w:w="3070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t>心理因素</w:t>
                  </w:r>
                </w:p>
              </w:tc>
              <w:tc>
                <w:tcPr>
                  <w:tcW w:w="3840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减压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预防过度疲劳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稳定情绪</w:t>
                  </w:r>
                </w:p>
              </w:tc>
              <w:tc>
                <w:tcPr>
                  <w:tcW w:w="3070" w:type="dxa"/>
                </w:tcPr>
                <w:p>
                  <w:pPr>
                    <w:rPr>
                      <w:rFonts w:hint="eastAsia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团建活动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t>物理因素</w:t>
                  </w:r>
                </w:p>
              </w:tc>
              <w:tc>
                <w:tcPr>
                  <w:tcW w:w="3840" w:type="dxa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温度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湿度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照明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空气流通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</w:p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卫生</w:t>
                  </w: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噪声等</w:t>
                  </w:r>
                </w:p>
              </w:tc>
              <w:tc>
                <w:tcPr>
                  <w:tcW w:w="3070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劳保用品发放</w:t>
                  </w:r>
                </w:p>
              </w:tc>
            </w:tr>
          </w:tbl>
          <w:p/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1566" w:type="dxa"/>
            <w:vMerge w:val="restart"/>
            <w:vAlign w:val="top"/>
          </w:tcPr>
          <w:p>
            <w:r>
              <w:rPr>
                <w:rFonts w:hint="eastAsia"/>
              </w:rPr>
              <w:t>监视和测量资源</w:t>
            </w:r>
          </w:p>
        </w:tc>
        <w:tc>
          <w:tcPr>
            <w:tcW w:w="810" w:type="dxa"/>
            <w:vMerge w:val="restart"/>
            <w:vAlign w:val="top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>7.1.5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423" w:type="dxa"/>
            <w:vAlign w:val="top"/>
          </w:tcPr>
          <w:p>
            <w:r>
              <w:rPr>
                <w:rFonts w:hint="eastAsia"/>
                <w:lang w:val="en-US" w:eastAsia="zh-CN"/>
              </w:rPr>
              <w:t>如：《</w:t>
            </w:r>
            <w:r>
              <w:rPr>
                <w:rFonts w:hint="eastAsia"/>
              </w:rPr>
              <w:t>监视和测量资源控制</w:t>
            </w:r>
            <w:r>
              <w:rPr>
                <w:rFonts w:hint="eastAsia"/>
                <w:lang w:val="en-US" w:eastAsia="zh-CN"/>
              </w:rPr>
              <w:t>程序》、手册第7.1.5条款</w:t>
            </w:r>
          </w:p>
        </w:tc>
        <w:tc>
          <w:tcPr>
            <w:tcW w:w="1149" w:type="dxa"/>
            <w:vMerge w:val="restart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N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计量器具未能及时送检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1566" w:type="dxa"/>
            <w:vMerge w:val="continue"/>
            <w:vAlign w:val="top"/>
          </w:tcPr>
          <w:p/>
        </w:tc>
        <w:tc>
          <w:tcPr>
            <w:tcW w:w="810" w:type="dxa"/>
            <w:vMerge w:val="continue"/>
            <w:vAlign w:val="top"/>
          </w:tcPr>
          <w:p/>
        </w:tc>
        <w:tc>
          <w:tcPr>
            <w:tcW w:w="761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423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 xml:space="preserve"> 了解监视和测量资源种类：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计量器具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监视设备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服务工作检查表 </w:t>
            </w:r>
            <w:r>
              <w:rPr>
                <w:rFonts w:hint="eastAsia"/>
              </w:rPr>
              <w:sym w:font="Wingdings" w:char="00A8"/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监视设备：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定期验证的计划，频次： </w:t>
            </w:r>
          </w:p>
          <w:p>
            <w:pPr>
              <w:ind w:firstLine="1050" w:firstLineChars="500"/>
              <w:rPr>
                <w:rFonts w:hint="default"/>
                <w:u w:val="single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sym w:font="Wingdings" w:char="00A8"/>
            </w:r>
            <w:r>
              <w:rPr>
                <w:rFonts w:hint="eastAsia"/>
                <w:color w:val="000000" w:themeColor="text1"/>
                <w:lang w:val="en-US" w:eastAsia="zh-CN"/>
              </w:rPr>
              <w:t>抽查验证记录日期：</w:t>
            </w:r>
            <w:r>
              <w:rPr>
                <w:rFonts w:hint="eastAsia"/>
                <w:u w:val="single"/>
                <w:lang w:val="en-US" w:eastAsia="zh-CN"/>
              </w:rPr>
              <w:t xml:space="preserve">                ；             ；               </w:t>
            </w:r>
          </w:p>
          <w:p>
            <w:pPr>
              <w:ind w:firstLine="1050" w:firstLineChars="500"/>
              <w:rPr>
                <w:rFonts w:hint="default"/>
                <w:u w:val="single"/>
                <w:lang w:val="en-US" w:eastAsia="zh-CN"/>
              </w:rPr>
            </w:pP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按照验证计划实施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未按照验证计划实施</w:t>
            </w:r>
            <w:r>
              <w:rPr>
                <w:rFonts w:hint="eastAsia"/>
                <w:u w:val="none"/>
                <w:lang w:val="en-US" w:eastAsia="zh-CN"/>
              </w:rPr>
              <w:t>；说明</w:t>
            </w:r>
            <w:r>
              <w:rPr>
                <w:rFonts w:hint="eastAsia"/>
                <w:u w:val="single"/>
                <w:lang w:val="en-US" w:eastAsia="zh-CN"/>
              </w:rPr>
              <w:t xml:space="preserve">  计量器具未能及时送检 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服务工作检查表：</w:t>
            </w:r>
          </w:p>
          <w:p>
            <w:pPr>
              <w:ind w:firstLine="1050" w:firstLineChars="500"/>
              <w:rPr>
                <w:rFonts w:hint="eastAsia" w:eastAsia="宋体"/>
                <w:u w:val="single"/>
                <w:lang w:val="en-US" w:eastAsia="zh-CN"/>
              </w:rPr>
            </w:pP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使用前确认内容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定期确认内容 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其他</w:t>
            </w: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color w:val="000000" w:themeColor="text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</w:t>
            </w:r>
            <w:r>
              <w:rPr>
                <w:rFonts w:hint="eastAsia"/>
                <w:color w:val="000000" w:themeColor="text1"/>
                <w:lang w:val="en-US" w:eastAsia="zh-CN"/>
              </w:rPr>
              <w:t>看《计量器具台账》，抽查外部检定或校准情况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33"/>
              <w:gridCol w:w="2248"/>
              <w:gridCol w:w="1739"/>
              <w:gridCol w:w="292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default" w:eastAsia="宋体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  <w:t>计量器具名称</w:t>
                  </w:r>
                </w:p>
              </w:tc>
              <w:tc>
                <w:tcPr>
                  <w:tcW w:w="2248" w:type="dxa"/>
                </w:tcPr>
                <w:p>
                  <w:pPr>
                    <w:rPr>
                      <w:rFonts w:hint="default" w:eastAsia="宋体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>检定或校准证书编号</w:t>
                  </w:r>
                </w:p>
              </w:tc>
              <w:tc>
                <w:tcPr>
                  <w:tcW w:w="1739" w:type="dxa"/>
                </w:tcPr>
                <w:p>
                  <w:pPr>
                    <w:rPr>
                      <w:rFonts w:hint="default"/>
                      <w:color w:val="000000" w:themeColor="text1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>有限期限至</w:t>
                  </w:r>
                </w:p>
              </w:tc>
              <w:tc>
                <w:tcPr>
                  <w:tcW w:w="2923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  <w:t>使用场所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default" w:eastAsia="宋体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248" w:type="dxa"/>
                </w:tcPr>
                <w:p>
                  <w:pPr>
                    <w:rPr>
                      <w:rFonts w:hint="default" w:eastAsia="宋体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739" w:type="dxa"/>
                </w:tcPr>
                <w:p>
                  <w:pPr>
                    <w:rPr>
                      <w:rFonts w:hint="default" w:eastAsia="宋体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923" w:type="dxa"/>
                </w:tcPr>
                <w:p>
                  <w:pPr>
                    <w:rPr>
                      <w:rFonts w:hint="eastAsia" w:eastAsia="宋体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sym w:font="Wingdings" w:char="00A8"/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 xml:space="preserve">车间 </w:t>
                  </w:r>
                  <w:r>
                    <w:rPr>
                      <w:rFonts w:hint="eastAsia"/>
                      <w:color w:val="000000" w:themeColor="text1"/>
                    </w:rPr>
                    <w:sym w:font="Wingdings" w:char="00A8"/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>实验室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default" w:eastAsia="宋体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248" w:type="dxa"/>
                </w:tcPr>
                <w:p>
                  <w:pPr>
                    <w:rPr>
                      <w:rFonts w:hint="default" w:eastAsia="宋体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739" w:type="dxa"/>
                </w:tcPr>
                <w:p>
                  <w:pPr>
                    <w:rPr>
                      <w:rFonts w:hint="default" w:eastAsia="宋体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923" w:type="dxa"/>
                </w:tcPr>
                <w:p>
                  <w:pPr>
                    <w:rPr>
                      <w:rFonts w:hint="eastAsia"/>
                      <w:color w:val="000000" w:themeColor="text1"/>
                      <w:vertAlign w:val="baseline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sym w:font="Wingdings" w:char="00A8"/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 xml:space="preserve">车间 </w:t>
                  </w:r>
                  <w:r>
                    <w:rPr>
                      <w:rFonts w:hint="eastAsia"/>
                      <w:color w:val="000000" w:themeColor="text1"/>
                    </w:rPr>
                    <w:sym w:font="Wingdings" w:char="00A8"/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>实验室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default" w:eastAsia="宋体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248" w:type="dxa"/>
                  <w:vAlign w:val="top"/>
                </w:tcPr>
                <w:p>
                  <w:pPr>
                    <w:rPr>
                      <w:rFonts w:hint="eastAsia"/>
                      <w:color w:val="000000" w:themeColor="text1"/>
                      <w:vertAlign w:val="baseline"/>
                    </w:rPr>
                  </w:pPr>
                </w:p>
              </w:tc>
              <w:tc>
                <w:tcPr>
                  <w:tcW w:w="1739" w:type="dxa"/>
                  <w:vAlign w:val="top"/>
                </w:tcPr>
                <w:p>
                  <w:pPr>
                    <w:rPr>
                      <w:rFonts w:hint="eastAsia"/>
                      <w:color w:val="000000" w:themeColor="text1"/>
                      <w:vertAlign w:val="baseline"/>
                    </w:rPr>
                  </w:pPr>
                </w:p>
              </w:tc>
              <w:tc>
                <w:tcPr>
                  <w:tcW w:w="2923" w:type="dxa"/>
                </w:tcPr>
                <w:p>
                  <w:pPr>
                    <w:rPr>
                      <w:rFonts w:hint="eastAsia"/>
                      <w:color w:val="000000" w:themeColor="text1"/>
                      <w:vertAlign w:val="baseline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sym w:font="Wingdings" w:char="00A8"/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 xml:space="preserve">车间 </w:t>
                  </w:r>
                  <w:r>
                    <w:rPr>
                      <w:rFonts w:hint="eastAsia"/>
                      <w:color w:val="000000" w:themeColor="text1"/>
                    </w:rPr>
                    <w:sym w:font="Wingdings" w:char="00A8"/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>实验室</w:t>
                  </w:r>
                </w:p>
              </w:tc>
            </w:tr>
          </w:tbl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抽查内部校准情况；抽查《内部校准计划》  《校准规程》  《校准记录》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33"/>
              <w:gridCol w:w="2248"/>
              <w:gridCol w:w="2626"/>
              <w:gridCol w:w="203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计量器具名称</w:t>
                  </w:r>
                </w:p>
              </w:tc>
              <w:tc>
                <w:tcPr>
                  <w:tcW w:w="2248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校准日期</w:t>
                  </w:r>
                </w:p>
              </w:tc>
              <w:tc>
                <w:tcPr>
                  <w:tcW w:w="2626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计划期限至</w:t>
                  </w:r>
                </w:p>
              </w:tc>
              <w:tc>
                <w:tcPr>
                  <w:tcW w:w="2036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使用场所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  <w:vAlign w:val="top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248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626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36" w:type="dxa"/>
                </w:tcPr>
                <w:p>
                  <w:pPr>
                    <w:rPr>
                      <w:rFonts w:hint="eastAsia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车间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>实验室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  <w:vAlign w:val="top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248" w:type="dxa"/>
                  <w:vAlign w:val="top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626" w:type="dxa"/>
                  <w:vAlign w:val="top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036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车间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>实验室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  <w:vAlign w:val="top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248" w:type="dxa"/>
                  <w:vAlign w:val="top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626" w:type="dxa"/>
                  <w:vAlign w:val="top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036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车间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>实验室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  <w:vAlign w:val="top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248" w:type="dxa"/>
                  <w:vAlign w:val="top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626" w:type="dxa"/>
                  <w:vAlign w:val="top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036" w:type="dxa"/>
                </w:tcPr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车间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>实验室</w:t>
                  </w:r>
                </w:p>
              </w:tc>
            </w:tr>
          </w:tbl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计量器具的失效控制：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未发生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已发生，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33"/>
              <w:gridCol w:w="2248"/>
              <w:gridCol w:w="2626"/>
              <w:gridCol w:w="203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失效计量器具名称</w:t>
                  </w:r>
                </w:p>
              </w:tc>
              <w:tc>
                <w:tcPr>
                  <w:tcW w:w="2248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失效情况</w:t>
                  </w:r>
                </w:p>
              </w:tc>
              <w:tc>
                <w:tcPr>
                  <w:tcW w:w="2626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处理</w:t>
                  </w:r>
                </w:p>
              </w:tc>
              <w:tc>
                <w:tcPr>
                  <w:tcW w:w="2036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数据追溯描述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248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626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报废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维修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>再校准</w:t>
                  </w:r>
                </w:p>
              </w:tc>
              <w:tc>
                <w:tcPr>
                  <w:tcW w:w="2036" w:type="dxa"/>
                </w:tcPr>
                <w:p>
                  <w:pPr>
                    <w:rPr>
                      <w:rFonts w:hint="eastAsia" w:eastAsia="宋体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248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626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报废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维修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>再校准</w:t>
                  </w:r>
                </w:p>
              </w:tc>
              <w:tc>
                <w:tcPr>
                  <w:tcW w:w="2036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248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626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报废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维修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>再校准</w:t>
                  </w:r>
                </w:p>
              </w:tc>
              <w:tc>
                <w:tcPr>
                  <w:tcW w:w="2036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</w:tr>
          </w:tbl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标准溶液控制：无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2"/>
              <w:gridCol w:w="881"/>
              <w:gridCol w:w="1689"/>
              <w:gridCol w:w="2105"/>
              <w:gridCol w:w="1569"/>
              <w:gridCol w:w="154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52" w:type="dxa"/>
                </w:tcPr>
                <w:p>
                  <w:pPr>
                    <w:rPr>
                      <w:rFonts w:hint="default" w:eastAsia="宋体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  <w:t>溶液名称</w:t>
                  </w:r>
                </w:p>
              </w:tc>
              <w:tc>
                <w:tcPr>
                  <w:tcW w:w="881" w:type="dxa"/>
                </w:tcPr>
                <w:p>
                  <w:pP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  <w:t>浓度</w:t>
                  </w:r>
                </w:p>
              </w:tc>
              <w:tc>
                <w:tcPr>
                  <w:tcW w:w="1689" w:type="dxa"/>
                </w:tcPr>
                <w:p>
                  <w:pPr>
                    <w:rPr>
                      <w:rFonts w:hint="default" w:eastAsia="宋体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>基准物质种类</w:t>
                  </w:r>
                </w:p>
              </w:tc>
              <w:tc>
                <w:tcPr>
                  <w:tcW w:w="2105" w:type="dxa"/>
                </w:tcPr>
                <w:p>
                  <w:pPr>
                    <w:rPr>
                      <w:rFonts w:hint="default"/>
                      <w:color w:val="000000" w:themeColor="text1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>标定方法</w:t>
                  </w:r>
                </w:p>
              </w:tc>
              <w:tc>
                <w:tcPr>
                  <w:tcW w:w="1569" w:type="dxa"/>
                </w:tcPr>
                <w:p>
                  <w:pPr>
                    <w:rPr>
                      <w:rFonts w:hint="default"/>
                      <w:color w:val="000000" w:themeColor="text1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  <w:t>标准偏差合格</w:t>
                  </w:r>
                </w:p>
              </w:tc>
              <w:tc>
                <w:tcPr>
                  <w:tcW w:w="1547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  <w:t>在有效期内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1252" w:type="dxa"/>
                </w:tcPr>
                <w:p>
                  <w:pPr>
                    <w:rPr>
                      <w:rFonts w:hint="default" w:eastAsia="宋体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881" w:type="dxa"/>
                </w:tcPr>
                <w:p>
                  <w:pPr>
                    <w:rPr>
                      <w:rFonts w:hint="default" w:eastAsia="宋体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689" w:type="dxa"/>
                </w:tcPr>
                <w:p>
                  <w:pPr>
                    <w:rPr>
                      <w:rFonts w:hint="default" w:eastAsia="宋体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105" w:type="dxa"/>
                </w:tcPr>
                <w:p>
                  <w:pPr>
                    <w:rPr>
                      <w:rFonts w:hint="default" w:eastAsia="宋体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569" w:type="dxa"/>
                </w:tcPr>
                <w:p>
                  <w:pPr>
                    <w:rPr>
                      <w:rFonts w:hint="default" w:eastAsia="宋体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sym w:font="Wingdings" w:char="00A8"/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 xml:space="preserve">是 </w:t>
                  </w:r>
                  <w:r>
                    <w:rPr>
                      <w:rFonts w:hint="eastAsia"/>
                      <w:color w:val="000000" w:themeColor="text1"/>
                    </w:rPr>
                    <w:sym w:font="Wingdings" w:char="00A8"/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>否</w:t>
                  </w:r>
                </w:p>
              </w:tc>
              <w:tc>
                <w:tcPr>
                  <w:tcW w:w="1547" w:type="dxa"/>
                </w:tcPr>
                <w:p>
                  <w:pPr>
                    <w:rPr>
                      <w:rFonts w:hint="eastAsia" w:eastAsia="宋体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sym w:font="Wingdings" w:char="00A8"/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 xml:space="preserve">是 </w:t>
                  </w:r>
                  <w:r>
                    <w:rPr>
                      <w:rFonts w:hint="eastAsia"/>
                      <w:color w:val="000000" w:themeColor="text1"/>
                    </w:rPr>
                    <w:sym w:font="Wingdings" w:char="00A8"/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>否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52" w:type="dxa"/>
                </w:tcPr>
                <w:p>
                  <w:pPr>
                    <w:rPr>
                      <w:rFonts w:hint="default" w:eastAsia="宋体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881" w:type="dxa"/>
                </w:tcPr>
                <w:p>
                  <w:pPr>
                    <w:rPr>
                      <w:rFonts w:hint="default" w:eastAsia="宋体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689" w:type="dxa"/>
                </w:tcPr>
                <w:p>
                  <w:pPr>
                    <w:rPr>
                      <w:rFonts w:hint="default" w:eastAsia="宋体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105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569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sym w:font="Wingdings" w:char="00A8"/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 xml:space="preserve">是 </w:t>
                  </w:r>
                  <w:r>
                    <w:rPr>
                      <w:rFonts w:hint="eastAsia"/>
                      <w:color w:val="000000" w:themeColor="text1"/>
                    </w:rPr>
                    <w:sym w:font="Wingdings" w:char="00A8"/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>否</w:t>
                  </w:r>
                </w:p>
              </w:tc>
              <w:tc>
                <w:tcPr>
                  <w:tcW w:w="1547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sym w:font="Wingdings" w:char="00A8"/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 xml:space="preserve">是 </w:t>
                  </w:r>
                  <w:r>
                    <w:rPr>
                      <w:rFonts w:hint="eastAsia"/>
                      <w:color w:val="000000" w:themeColor="text1"/>
                    </w:rPr>
                    <w:sym w:font="Wingdings" w:char="00A8"/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>否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52" w:type="dxa"/>
                </w:tcPr>
                <w:p>
                  <w:pPr>
                    <w:rPr>
                      <w:rFonts w:hint="default" w:eastAsia="宋体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881" w:type="dxa"/>
                </w:tcPr>
                <w:p>
                  <w:pPr>
                    <w:rPr>
                      <w:rFonts w:hint="default" w:eastAsia="宋体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689" w:type="dxa"/>
                </w:tcPr>
                <w:p>
                  <w:pPr>
                    <w:rPr>
                      <w:rFonts w:hint="default" w:eastAsia="宋体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105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569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sym w:font="Wingdings" w:char="00A8"/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 xml:space="preserve">是 </w:t>
                  </w:r>
                  <w:r>
                    <w:rPr>
                      <w:rFonts w:hint="eastAsia"/>
                      <w:color w:val="000000" w:themeColor="text1"/>
                    </w:rPr>
                    <w:sym w:font="Wingdings" w:char="00A8"/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>否</w:t>
                  </w:r>
                </w:p>
              </w:tc>
              <w:tc>
                <w:tcPr>
                  <w:tcW w:w="1547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sym w:font="Wingdings" w:char="00A8"/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 xml:space="preserve">是 </w:t>
                  </w:r>
                  <w:r>
                    <w:rPr>
                      <w:rFonts w:hint="eastAsia"/>
                      <w:color w:val="000000" w:themeColor="text1"/>
                    </w:rPr>
                    <w:sym w:font="Wingdings" w:char="00A8"/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>否</w:t>
                  </w:r>
                </w:p>
              </w:tc>
            </w:tr>
          </w:tbl>
          <w:p/>
        </w:tc>
        <w:tc>
          <w:tcPr>
            <w:tcW w:w="1149" w:type="dxa"/>
            <w:vMerge w:val="continue"/>
            <w:vAlign w:val="top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566" w:type="dxa"/>
            <w:vMerge w:val="restart"/>
          </w:tcPr>
          <w:p>
            <w:r>
              <w:rPr>
                <w:rFonts w:hint="eastAsia"/>
              </w:rPr>
              <w:t>运行的策划和控制</w:t>
            </w:r>
          </w:p>
        </w:tc>
        <w:tc>
          <w:tcPr>
            <w:tcW w:w="81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>8.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423" w:type="dxa"/>
          </w:tcPr>
          <w:p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  <w:vertAlign w:val="baseline"/>
                <w:lang w:val="en-US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《</w:t>
            </w:r>
            <w:r>
              <w:rPr>
                <w:rFonts w:hint="eastAsia"/>
              </w:rPr>
              <w:t>运行控制</w:t>
            </w:r>
            <w:r>
              <w:rPr>
                <w:rFonts w:hint="eastAsia"/>
                <w:lang w:val="en-US" w:eastAsia="zh-CN"/>
              </w:rPr>
              <w:t>程序》</w:t>
            </w:r>
          </w:p>
        </w:tc>
        <w:tc>
          <w:tcPr>
            <w:tcW w:w="1149" w:type="dxa"/>
            <w:vMerge w:val="restart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  <w:p>
            <w:pPr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0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423" w:type="dxa"/>
          </w:tcPr>
          <w:p>
            <w:pPr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为满足产品和服务提供的要求，所确定的措施，组织通过以下措施对所需的过程进行策划、实施和控制：</w:t>
            </w:r>
          </w:p>
          <w:tbl>
            <w:tblPr>
              <w:tblStyle w:val="6"/>
              <w:tblW w:w="10435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27"/>
              <w:gridCol w:w="1984"/>
              <w:gridCol w:w="5631"/>
              <w:gridCol w:w="189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11" w:type="dxa"/>
                  <w:gridSpan w:val="2"/>
                </w:tcPr>
                <w:p>
                  <w:pPr>
                    <w:rPr>
                      <w:rFonts w:hint="default" w:eastAsia="宋体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产品/服务的名称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  <w:tc>
                <w:tcPr>
                  <w:tcW w:w="1893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验证结论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2911" w:type="dxa"/>
                  <w:gridSpan w:val="2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highlight w:val="none"/>
                    </w:rPr>
                    <w:t>产品和服务的要求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图纸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工艺流程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操作规程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其他</w:t>
                  </w:r>
                </w:p>
              </w:tc>
              <w:tc>
                <w:tcPr>
                  <w:tcW w:w="1893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sym w:font="Wingdings 2" w:char="0052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11" w:type="dxa"/>
                  <w:gridSpan w:val="2"/>
                </w:tcPr>
                <w:p>
                  <w:pPr>
                    <w:rPr>
                      <w:rFonts w:hint="eastAsia" w:eastAsia="宋体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</w:rPr>
                    <w:t>过程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准则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程序文件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作业指导书</w:t>
                  </w:r>
                </w:p>
              </w:tc>
              <w:tc>
                <w:tcPr>
                  <w:tcW w:w="1893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" w:hRule="atLeast"/>
              </w:trPr>
              <w:tc>
                <w:tcPr>
                  <w:tcW w:w="927" w:type="dxa"/>
                  <w:vMerge w:val="restart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highlight w:val="none"/>
                    </w:rPr>
                    <w:t>产品和服务的接收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准则</w:t>
                  </w:r>
                </w:p>
              </w:tc>
              <w:tc>
                <w:tcPr>
                  <w:tcW w:w="1984" w:type="dxa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原材料接受标准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原料验收标准</w:t>
                  </w:r>
                </w:p>
              </w:tc>
              <w:tc>
                <w:tcPr>
                  <w:tcW w:w="1893" w:type="dxa"/>
                  <w:vMerge w:val="restart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sym w:font="Wingdings 2" w:char="0052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" w:hRule="atLeast"/>
              </w:trPr>
              <w:tc>
                <w:tcPr>
                  <w:tcW w:w="927" w:type="dxa"/>
                  <w:vMerge w:val="continue"/>
                </w:tcPr>
                <w:p/>
              </w:tc>
              <w:tc>
                <w:tcPr>
                  <w:tcW w:w="1984" w:type="dxa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过程产品放行标准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default"/>
                      <w:highlight w:val="none"/>
                      <w:lang w:val="en-US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安装调试过程监控记录</w:t>
                  </w:r>
                </w:p>
              </w:tc>
              <w:tc>
                <w:tcPr>
                  <w:tcW w:w="1893" w:type="dxa"/>
                  <w:vMerge w:val="continue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90" w:hRule="atLeast"/>
              </w:trPr>
              <w:tc>
                <w:tcPr>
                  <w:tcW w:w="927" w:type="dxa"/>
                  <w:vMerge w:val="continue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</w:p>
              </w:tc>
              <w:tc>
                <w:tcPr>
                  <w:tcW w:w="1984" w:type="dxa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成品执行标准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default"/>
                      <w:color w:val="FF000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Cs w:val="22"/>
                      <w:vertAlign w:val="baseline"/>
                      <w:lang w:val="en-US" w:eastAsia="zh-CN"/>
                    </w:rPr>
                    <w:t>客户合同</w:t>
                  </w:r>
                </w:p>
              </w:tc>
              <w:tc>
                <w:tcPr>
                  <w:tcW w:w="1893" w:type="dxa"/>
                  <w:vMerge w:val="continue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" w:hRule="atLeast"/>
              </w:trPr>
              <w:tc>
                <w:tcPr>
                  <w:tcW w:w="927" w:type="dxa"/>
                  <w:vMerge w:val="continue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</w:p>
              </w:tc>
              <w:tc>
                <w:tcPr>
                  <w:tcW w:w="1984" w:type="dxa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服务规范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eastAsia" w:eastAsia="宋体"/>
                      <w:highlight w:val="none"/>
                      <w:lang w:eastAsia="zh-CN"/>
                    </w:rPr>
                  </w:pPr>
                  <w:r>
                    <w:rPr>
                      <w:rFonts w:hint="eastAsia"/>
                      <w:highlight w:val="none"/>
                      <w:lang w:eastAsia="zh-CN"/>
                    </w:rPr>
                    <w:t>——</w:t>
                  </w:r>
                </w:p>
              </w:tc>
              <w:tc>
                <w:tcPr>
                  <w:tcW w:w="1893" w:type="dxa"/>
                  <w:vMerge w:val="continue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11" w:type="dxa"/>
                  <w:gridSpan w:val="2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highlight w:val="none"/>
                    </w:rPr>
                    <w:t>所需的资源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受过培训的人员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必要的生产设备和工具  </w:t>
                  </w:r>
                </w:p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必要的检测设备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必要的生产和储存场所  </w:t>
                  </w:r>
                </w:p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充足的原材料供应 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其他</w:t>
                  </w:r>
                </w:p>
              </w:tc>
              <w:tc>
                <w:tcPr>
                  <w:tcW w:w="1893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sym w:font="Wingdings 2" w:char="0052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11" w:type="dxa"/>
                  <w:gridSpan w:val="2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highlight w:val="none"/>
                    </w:rPr>
                    <w:t>确定符合产品和服务要求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default" w:eastAsia="宋体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从原料采购，评审，按销售合同进行生产，能满足要求。</w:t>
                  </w:r>
                </w:p>
              </w:tc>
              <w:tc>
                <w:tcPr>
                  <w:tcW w:w="1893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sym w:font="Wingdings 2" w:char="0052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11" w:type="dxa"/>
                  <w:gridSpan w:val="2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highlight w:val="none"/>
                    </w:rPr>
                    <w:t>按照准则实施过程控制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default" w:eastAsia="宋体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施工图纸；《火电施工质量检验及评定标准》；《电力建设安全工作规程（变电所部分）》；《国家电网公司电力安全工作规范》；GB50171-92《电气装置安装工程盘、柜及二次回路接线施工及验收规范》；GB50168-92《电气装置安装工程电缆线路施工及验收规范》</w:t>
                  </w:r>
                </w:p>
              </w:tc>
              <w:tc>
                <w:tcPr>
                  <w:tcW w:w="1893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sym w:font="Wingdings 2" w:char="0052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11" w:type="dxa"/>
                  <w:gridSpan w:val="2"/>
                </w:tcPr>
                <w:p>
                  <w:pPr>
                    <w:rPr>
                      <w:rFonts w:hint="eastAsia" w:eastAsia="宋体"/>
                      <w:highlight w:val="none"/>
                      <w:vertAlign w:val="baseline"/>
                      <w:lang w:eastAsia="zh-CN"/>
                    </w:rPr>
                  </w:pPr>
                  <w:r>
                    <w:rPr>
                      <w:rFonts w:hint="eastAsia"/>
                      <w:highlight w:val="none"/>
                    </w:rPr>
                    <w:t>过程已经按策划进行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证据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default" w:eastAsia="宋体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有原料验收标准、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中间体检验标准</w:t>
                  </w:r>
                </w:p>
              </w:tc>
              <w:tc>
                <w:tcPr>
                  <w:tcW w:w="1893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sym w:font="Wingdings 2" w:char="0052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11" w:type="dxa"/>
                  <w:gridSpan w:val="2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highlight w:val="none"/>
                    </w:rPr>
                    <w:t>产品和服务符合要求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的证据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default" w:eastAsia="宋体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提供了工程验收报告</w:t>
                  </w:r>
                </w:p>
              </w:tc>
              <w:tc>
                <w:tcPr>
                  <w:tcW w:w="1893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sym w:font="Wingdings 2" w:char="0052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11" w:type="dxa"/>
                  <w:gridSpan w:val="2"/>
                </w:tcPr>
                <w:p>
                  <w:pPr>
                    <w:rPr>
                      <w:rFonts w:hint="default" w:eastAsia="宋体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</w:rPr>
                    <w:t>策划的变更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的控制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default" w:eastAsia="宋体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目前企业无策划变更</w:t>
                  </w:r>
                </w:p>
              </w:tc>
              <w:tc>
                <w:tcPr>
                  <w:tcW w:w="1893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sym w:font="Wingdings 2" w:char="0052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11" w:type="dxa"/>
                  <w:gridSpan w:val="2"/>
                </w:tcPr>
                <w:p>
                  <w:pPr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识别</w:t>
                  </w:r>
                  <w:r>
                    <w:rPr>
                      <w:rFonts w:hint="eastAsia"/>
                      <w:highlight w:val="none"/>
                    </w:rPr>
                    <w:t>外包过程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及控制方法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default" w:eastAsia="宋体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--</w:t>
                  </w:r>
                </w:p>
              </w:tc>
              <w:tc>
                <w:tcPr>
                  <w:tcW w:w="1893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</w:tbl>
          <w:p/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566" w:type="dxa"/>
            <w:vMerge w:val="restart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生产和服务提供的控制</w:t>
            </w:r>
          </w:p>
          <w:p/>
        </w:tc>
        <w:tc>
          <w:tcPr>
            <w:tcW w:w="81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 xml:space="preserve">8.5.1  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423" w:type="dxa"/>
          </w:tcPr>
          <w:p>
            <w:r>
              <w:rPr>
                <w:rFonts w:hint="eastAsia"/>
                <w:lang w:val="en-US" w:eastAsia="zh-CN"/>
              </w:rPr>
              <w:t>如：《生产和服务提供的控制程序》、《工艺流程图》、《图纸》、《作业指导书》、《操作规程》</w:t>
            </w:r>
          </w:p>
        </w:tc>
        <w:tc>
          <w:tcPr>
            <w:tcW w:w="1149" w:type="dxa"/>
            <w:vMerge w:val="restart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  <w:p>
            <w:pPr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6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423" w:type="dxa"/>
          </w:tcPr>
          <w:p>
            <w:pPr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组织应在受控条件下进行生产和服务提供。</w:t>
            </w:r>
          </w:p>
          <w:p>
            <w:pPr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产品/服务1：</w:t>
            </w:r>
          </w:p>
          <w:p>
            <w:pPr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查看</w:t>
            </w:r>
            <w:r>
              <w:rPr>
                <w:rFonts w:hint="eastAsia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/>
                <w:highlight w:val="none"/>
                <w:lang w:val="en-US" w:eastAsia="zh-CN"/>
              </w:rPr>
              <w:t>《工艺流程图》、</w:t>
            </w:r>
            <w:r>
              <w:rPr>
                <w:rFonts w:hint="eastAsia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/>
                <w:highlight w:val="none"/>
                <w:lang w:val="en-US" w:eastAsia="zh-CN"/>
              </w:rPr>
              <w:t>《图纸》、</w:t>
            </w:r>
            <w:r>
              <w:rPr>
                <w:rFonts w:hint="eastAsia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/>
                <w:highlight w:val="none"/>
                <w:lang w:val="en-US" w:eastAsia="zh-CN"/>
              </w:rPr>
              <w:t>《操作规程》、《生产计划》：</w:t>
            </w:r>
          </w:p>
          <w:p>
            <w:pPr>
              <w:rPr>
                <w:rFonts w:hint="default"/>
                <w:highlight w:val="cyan"/>
                <w:lang w:val="en-US" w:eastAsia="zh-CN"/>
              </w:rPr>
            </w:pPr>
          </w:p>
          <w:p>
            <w:pPr>
              <w:rPr>
                <w:rFonts w:hint="eastAsia" w:hAnsi="宋体" w:cs="宋体"/>
                <w:b/>
                <w:sz w:val="28"/>
                <w:szCs w:val="28"/>
                <w:lang w:val="zh-CN"/>
              </w:rPr>
            </w:pPr>
            <w:r>
              <w:rPr>
                <w:rFonts w:hint="eastAsia" w:hAnsi="宋体" w:cs="宋体"/>
                <w:b/>
                <w:sz w:val="28"/>
                <w:szCs w:val="28"/>
                <w:lang w:val="zh-CN"/>
              </w:rPr>
              <w:t>招投标/报价、洽谈→签订销售合同→项目策划→物资采购→电力设施承装（修、试）→验收、意见反馈</w:t>
            </w:r>
          </w:p>
          <w:p>
            <w:pPr>
              <w:pStyle w:val="12"/>
              <w:rPr>
                <w:rFonts w:hint="default" w:eastAsia="宋体"/>
                <w:color w:val="000000" w:themeColor="text1"/>
                <w:szCs w:val="22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22"/>
              </w:rPr>
              <w:t>其中特殊过程为：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</w:rPr>
              <w:t>隐秘工程，焊接</w:t>
            </w:r>
          </w:p>
          <w:p>
            <w:pPr>
              <w:pStyle w:val="12"/>
              <w:rPr>
                <w:rFonts w:hint="eastAsia"/>
                <w:color w:val="000000" w:themeColor="text1"/>
                <w:szCs w:val="22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22"/>
                <w:lang w:val="en-US" w:eastAsia="zh-CN"/>
              </w:rPr>
              <w:t>关键过程：安装调试过程</w:t>
            </w:r>
          </w:p>
          <w:p>
            <w:pPr>
              <w:spacing w:line="400" w:lineRule="exact"/>
              <w:rPr>
                <w:rFonts w:hint="eastAsia"/>
                <w:b/>
                <w:bCs/>
                <w:color w:val="000000" w:themeColor="text1"/>
                <w:szCs w:val="21"/>
                <w:lang w:val="en-US" w:eastAsia="zh-CN"/>
              </w:rPr>
            </w:pPr>
          </w:p>
          <w:p>
            <w:pPr>
              <w:spacing w:line="400" w:lineRule="exact"/>
              <w:rPr>
                <w:rFonts w:hint="default" w:eastAsia="宋体"/>
                <w:b/>
                <w:bCs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Cs w:val="21"/>
                <w:lang w:val="en-US" w:eastAsia="zh-CN"/>
              </w:rPr>
              <w:t>已完成项目：安徽外国语学院北侧商业街街前充电站建设项目工程</w:t>
            </w:r>
          </w:p>
          <w:p>
            <w:pPr>
              <w:spacing w:line="400" w:lineRule="exact"/>
              <w:rPr>
                <w:rFonts w:hint="eastAsia"/>
                <w:highlight w:val="cyan"/>
              </w:rPr>
            </w:pPr>
            <w:r>
              <w:rPr>
                <w:rFonts w:hint="eastAsia"/>
                <w:b/>
                <w:bCs/>
                <w:color w:val="000000" w:themeColor="text1"/>
                <w:szCs w:val="21"/>
              </w:rPr>
              <w:t>提供：</w:t>
            </w:r>
            <w:r>
              <w:rPr>
                <w:rFonts w:hint="eastAsia"/>
                <w:b/>
                <w:bCs/>
                <w:color w:val="000000" w:themeColor="text1"/>
                <w:szCs w:val="21"/>
                <w:lang w:val="en-US" w:eastAsia="zh-CN"/>
              </w:rPr>
              <w:t>竣工资料</w:t>
            </w:r>
            <w:r>
              <w:rPr>
                <w:rFonts w:hint="eastAsia"/>
                <w:b/>
                <w:bCs/>
                <w:color w:val="000000" w:themeColor="text1"/>
                <w:szCs w:val="21"/>
              </w:rPr>
              <w:t>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项目介绍：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新建一台S11-M-630/10欧变；新建八台直流充电桩；敷设YJV22-10-3*70mm</w:t>
            </w:r>
            <w:r>
              <w:rPr>
                <w:rFonts w:hint="eastAsia"/>
                <w:vertAlign w:val="superscript"/>
                <w:lang w:val="en-US" w:eastAsia="zh-CN"/>
              </w:rPr>
              <w:t>2</w:t>
            </w:r>
            <w:r>
              <w:rPr>
                <w:rFonts w:hint="eastAsia"/>
                <w:lang w:val="en-US" w:eastAsia="zh-CN"/>
              </w:rPr>
              <w:t>高压电缆45米；敷设ZCYJV22-2*95mm</w:t>
            </w:r>
            <w:r>
              <w:rPr>
                <w:rFonts w:hint="eastAsia"/>
                <w:vertAlign w:val="superscript"/>
                <w:lang w:val="en-US" w:eastAsia="zh-CN"/>
              </w:rPr>
              <w:t>2</w:t>
            </w:r>
            <w:r>
              <w:rPr>
                <w:rFonts w:hint="eastAsia"/>
                <w:lang w:val="en-US" w:eastAsia="zh-CN"/>
              </w:rPr>
              <w:t xml:space="preserve">电缆235米;敷设ZCYJV22-4*240mm高压电缆70米 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提供：竣工图纸，实验熬过，安装记录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工序1</w:t>
            </w:r>
          </w:p>
          <w:tbl>
            <w:tblPr>
              <w:tblStyle w:val="6"/>
              <w:tblW w:w="1038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5"/>
              <w:gridCol w:w="913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6" w:hRule="atLeast"/>
              </w:trPr>
              <w:tc>
                <w:tcPr>
                  <w:tcW w:w="1255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日期</w:t>
                  </w:r>
                </w:p>
              </w:tc>
              <w:tc>
                <w:tcPr>
                  <w:tcW w:w="9132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2020.6.24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1" w:hRule="atLeast"/>
              </w:trPr>
              <w:tc>
                <w:tcPr>
                  <w:tcW w:w="1255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产品名称/批次</w:t>
                  </w:r>
                </w:p>
              </w:tc>
              <w:tc>
                <w:tcPr>
                  <w:tcW w:w="9132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  <w:szCs w:val="21"/>
                      <w:lang w:val="en-US" w:eastAsia="zh-CN"/>
                    </w:rPr>
                    <w:t>安徽外国语学院北侧商业街街前充电站建设项目工程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93" w:hRule="atLeast"/>
              </w:trPr>
              <w:tc>
                <w:tcPr>
                  <w:tcW w:w="1255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工序名称</w:t>
                  </w:r>
                </w:p>
              </w:tc>
              <w:tc>
                <w:tcPr>
                  <w:tcW w:w="9132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变压器安装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59" w:hRule="atLeast"/>
              </w:trPr>
              <w:tc>
                <w:tcPr>
                  <w:tcW w:w="1255" w:type="dxa"/>
                </w:tcPr>
                <w:p>
                  <w:pPr>
                    <w:rPr>
                      <w:rFonts w:hint="default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b/>
                      <w:bCs/>
                      <w:kern w:val="2"/>
                      <w:sz w:val="21"/>
                      <w:vertAlign w:val="baseline"/>
                      <w:lang w:val="en-US" w:eastAsia="zh-CN" w:bidi="ar-SA"/>
                    </w:rPr>
                    <w:t>关键特性</w:t>
                  </w: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要求</w:t>
                  </w:r>
                </w:p>
              </w:tc>
              <w:tc>
                <w:tcPr>
                  <w:tcW w:w="9132" w:type="dxa"/>
                </w:tcPr>
                <w:p>
                  <w:pPr>
                    <w:numPr>
                      <w:ilvl w:val="0"/>
                      <w:numId w:val="1"/>
                    </w:numPr>
                    <w:rPr>
                      <w:rFonts w:hint="default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vertAlign w:val="baseline"/>
                      <w:lang w:val="en-US" w:eastAsia="zh-CN"/>
                    </w:rPr>
                    <w:t>基础型钢不直度应&lt;1（mm/m），水平度应&lt;1（mm/m），接地点数应不小于2点</w:t>
                  </w:r>
                </w:p>
                <w:p>
                  <w:pPr>
                    <w:numPr>
                      <w:ilvl w:val="0"/>
                      <w:numId w:val="1"/>
                    </w:numPr>
                    <w:rPr>
                      <w:rFonts w:hint="default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vertAlign w:val="baseline"/>
                      <w:lang w:val="en-US" w:eastAsia="zh-CN"/>
                    </w:rPr>
                    <w:t>盘柜安装的水平允许偏差：相邻两盘顶部应&lt;2mn，成列盘顶部应&lt;5mn；</w:t>
                  </w:r>
                </w:p>
                <w:p>
                  <w:pPr>
                    <w:numPr>
                      <w:ilvl w:val="0"/>
                      <w:numId w:val="0"/>
                    </w:numPr>
                    <w:rPr>
                      <w:rFonts w:hint="eastAsia" w:ascii="宋体" w:hAnsi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vertAlign w:val="baseline"/>
                      <w:lang w:val="en-US" w:eastAsia="zh-CN"/>
                    </w:rPr>
                    <w:t xml:space="preserve">   盘面偏差：相临两盘边应&lt;1mn，成列盘面应&lt;5mn，盘间缝隙应&lt;2mn</w:t>
                  </w:r>
                </w:p>
                <w:p>
                  <w:pPr>
                    <w:numPr>
                      <w:ilvl w:val="0"/>
                      <w:numId w:val="0"/>
                    </w:numPr>
                    <w:rPr>
                      <w:rFonts w:hint="eastAsia" w:ascii="宋体" w:hAnsi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vertAlign w:val="baseline"/>
                      <w:lang w:val="en-US" w:eastAsia="zh-CN"/>
                    </w:rPr>
                    <w:t xml:space="preserve">   盘的垂直度应&lt;1.5/1000（m)</w:t>
                  </w:r>
                </w:p>
                <w:p>
                  <w:pPr>
                    <w:numPr>
                      <w:ilvl w:val="0"/>
                      <w:numId w:val="1"/>
                    </w:numPr>
                    <w:ind w:left="0" w:leftChars="0" w:firstLine="0" w:firstLineChars="0"/>
                    <w:rPr>
                      <w:rFonts w:hint="eastAsia" w:ascii="宋体" w:hAnsi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vertAlign w:val="baseline"/>
                      <w:lang w:val="en-US" w:eastAsia="zh-CN"/>
                    </w:rPr>
                    <w:t>盘柜接地应可靠，固定应牢固，柜门应开启自如</w:t>
                  </w:r>
                </w:p>
                <w:p>
                  <w:pPr>
                    <w:numPr>
                      <w:ilvl w:val="0"/>
                      <w:numId w:val="1"/>
                    </w:numPr>
                    <w:ind w:left="0" w:leftChars="0" w:firstLine="0" w:firstLineChars="0"/>
                    <w:rPr>
                      <w:rFonts w:hint="default" w:ascii="宋体" w:hAnsi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vertAlign w:val="baseline"/>
                      <w:lang w:val="en-US" w:eastAsia="zh-CN"/>
                    </w:rPr>
                    <w:t>盘柜内电器组件安装应牢固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2" w:hRule="atLeast"/>
              </w:trPr>
              <w:tc>
                <w:tcPr>
                  <w:tcW w:w="1255" w:type="dxa"/>
                </w:tcPr>
                <w:p>
                  <w:pPr>
                    <w:rPr>
                      <w:rFonts w:hint="default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实测结果</w:t>
                  </w:r>
                </w:p>
              </w:tc>
              <w:tc>
                <w:tcPr>
                  <w:tcW w:w="9132" w:type="dxa"/>
                </w:tcPr>
                <w:p>
                  <w:pPr>
                    <w:numPr>
                      <w:ilvl w:val="0"/>
                      <w:numId w:val="0"/>
                    </w:numPr>
                    <w:rPr>
                      <w:rFonts w:hint="default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vertAlign w:val="baseline"/>
                      <w:lang w:val="en-US" w:eastAsia="zh-CN"/>
                    </w:rPr>
                    <w:t>1、基础型钢不直度：&lt;1（mm/m），水平度：&lt;1（mm/m），接地点数3点</w:t>
                  </w:r>
                </w:p>
                <w:p>
                  <w:pPr>
                    <w:numPr>
                      <w:ilvl w:val="0"/>
                      <w:numId w:val="0"/>
                    </w:numPr>
                    <w:rPr>
                      <w:rFonts w:hint="default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vertAlign w:val="baseline"/>
                      <w:lang w:val="en-US" w:eastAsia="zh-CN"/>
                    </w:rPr>
                    <w:t>2、盘柜安装的水平允许偏差：相邻两盘顶部：&lt;2mn，成列盘顶部：&lt;5mn；</w:t>
                  </w:r>
                </w:p>
                <w:p>
                  <w:pPr>
                    <w:numPr>
                      <w:ilvl w:val="0"/>
                      <w:numId w:val="0"/>
                    </w:numPr>
                    <w:rPr>
                      <w:rFonts w:hint="eastAsia" w:ascii="宋体" w:hAnsi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vertAlign w:val="baseline"/>
                      <w:lang w:val="en-US" w:eastAsia="zh-CN"/>
                    </w:rPr>
                    <w:t xml:space="preserve">   盘面偏差：相临两盘边：&lt;1mn，成列盘面：&lt;5mn，盘间缝隙：&lt;2mn</w:t>
                  </w:r>
                </w:p>
                <w:p>
                  <w:pPr>
                    <w:numPr>
                      <w:ilvl w:val="0"/>
                      <w:numId w:val="0"/>
                    </w:numPr>
                    <w:rPr>
                      <w:rFonts w:hint="eastAsia" w:ascii="宋体" w:hAnsi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vertAlign w:val="baseline"/>
                      <w:lang w:val="en-US" w:eastAsia="zh-CN"/>
                    </w:rPr>
                    <w:t xml:space="preserve">   盘的垂直度：&lt;1.5/1000（m)</w:t>
                  </w:r>
                </w:p>
                <w:p>
                  <w:pPr>
                    <w:numPr>
                      <w:ilvl w:val="0"/>
                      <w:numId w:val="0"/>
                    </w:numPr>
                    <w:ind w:leftChars="0"/>
                    <w:rPr>
                      <w:rFonts w:hint="eastAsia" w:ascii="宋体" w:hAnsi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vertAlign w:val="baseline"/>
                      <w:lang w:val="en-US" w:eastAsia="zh-CN"/>
                    </w:rPr>
                    <w:t>3、盘柜接地可靠，固定牢固，柜门开启自如</w:t>
                  </w:r>
                </w:p>
                <w:p>
                  <w:pP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vertAlign w:val="baseline"/>
                      <w:lang w:val="en-US" w:eastAsia="zh-CN"/>
                    </w:rPr>
                    <w:t>4、盘柜内电器组件安装牢固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53" w:hRule="atLeast"/>
              </w:trPr>
              <w:tc>
                <w:tcPr>
                  <w:tcW w:w="1255" w:type="dxa"/>
                </w:tcPr>
                <w:p>
                  <w:pP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验证结论</w:t>
                  </w:r>
                </w:p>
              </w:tc>
              <w:tc>
                <w:tcPr>
                  <w:tcW w:w="9132" w:type="dxa"/>
                </w:tcPr>
                <w:p>
                  <w:pP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sym w:font="Wingdings 2" w:char="0052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1" w:hRule="atLeast"/>
              </w:trPr>
              <w:tc>
                <w:tcPr>
                  <w:tcW w:w="1255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再次抽样</w:t>
                  </w:r>
                </w:p>
              </w:tc>
              <w:tc>
                <w:tcPr>
                  <w:tcW w:w="9132" w:type="dxa"/>
                </w:tcPr>
                <w:p>
                  <w:pPr>
                    <w:rPr>
                      <w:rFonts w:hint="default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val="en-US" w:eastAsia="zh-CN"/>
                    </w:rPr>
                    <w:t>---</w:t>
                  </w:r>
                </w:p>
              </w:tc>
            </w:tr>
          </w:tbl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工序电缆敷设接线</w:t>
            </w:r>
          </w:p>
          <w:tbl>
            <w:tblPr>
              <w:tblStyle w:val="6"/>
              <w:tblW w:w="10411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5"/>
              <w:gridCol w:w="915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6" w:hRule="atLeast"/>
              </w:trPr>
              <w:tc>
                <w:tcPr>
                  <w:tcW w:w="1255" w:type="dxa"/>
                </w:tcPr>
                <w:p>
                  <w:pP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日期</w:t>
                  </w:r>
                </w:p>
              </w:tc>
              <w:tc>
                <w:tcPr>
                  <w:tcW w:w="9156" w:type="dxa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2020.6.24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1" w:hRule="atLeast"/>
              </w:trPr>
              <w:tc>
                <w:tcPr>
                  <w:tcW w:w="1255" w:type="dxa"/>
                </w:tcPr>
                <w:p>
                  <w:pP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产品名称/批次</w:t>
                  </w:r>
                </w:p>
              </w:tc>
              <w:tc>
                <w:tcPr>
                  <w:tcW w:w="9156" w:type="dxa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  <w:szCs w:val="21"/>
                      <w:lang w:val="en-US" w:eastAsia="zh-CN"/>
                    </w:rPr>
                    <w:t>安徽外国语学院北侧商业街街前充电站建设项目工程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93" w:hRule="atLeast"/>
              </w:trPr>
              <w:tc>
                <w:tcPr>
                  <w:tcW w:w="1255" w:type="dxa"/>
                </w:tcPr>
                <w:p>
                  <w:pP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工序名称</w:t>
                  </w:r>
                </w:p>
              </w:tc>
              <w:tc>
                <w:tcPr>
                  <w:tcW w:w="9156" w:type="dxa"/>
                </w:tcPr>
                <w:p>
                  <w:pP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电缆敷设接线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37" w:hRule="atLeast"/>
              </w:trPr>
              <w:tc>
                <w:tcPr>
                  <w:tcW w:w="1255" w:type="dxa"/>
                </w:tcPr>
                <w:p>
                  <w:pPr>
                    <w:rPr>
                      <w:rFonts w:hint="default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b/>
                      <w:bCs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  <w:t>关键特性</w:t>
                  </w:r>
                  <w:r>
                    <w:rPr>
                      <w:rFonts w:hint="eastAsia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  <w:t>要求</w:t>
                  </w:r>
                </w:p>
              </w:tc>
              <w:tc>
                <w:tcPr>
                  <w:tcW w:w="9156" w:type="dxa"/>
                </w:tcPr>
                <w:p>
                  <w:pPr>
                    <w:numPr>
                      <w:ilvl w:val="0"/>
                      <w:numId w:val="2"/>
                    </w:numPr>
                    <w:rPr>
                      <w:rFonts w:hint="eastAsia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电缆统计清单发放给首尾负责人各一份，认真校对</w:t>
                  </w:r>
                </w:p>
                <w:p>
                  <w:pPr>
                    <w:numPr>
                      <w:ilvl w:val="0"/>
                      <w:numId w:val="2"/>
                    </w:numPr>
                    <w:rPr>
                      <w:rFonts w:hint="default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拉动电缆时，前后作用力一致，预防电缆打结损伤</w:t>
                  </w:r>
                </w:p>
                <w:p>
                  <w:pPr>
                    <w:numPr>
                      <w:ilvl w:val="0"/>
                      <w:numId w:val="2"/>
                    </w:numPr>
                    <w:rPr>
                      <w:rFonts w:hint="default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电缆在支架上排列应整齐有序，每隔5-8米用绑扎线绑扎</w:t>
                  </w:r>
                </w:p>
                <w:p>
                  <w:pPr>
                    <w:numPr>
                      <w:ilvl w:val="0"/>
                      <w:numId w:val="2"/>
                    </w:numPr>
                    <w:rPr>
                      <w:rFonts w:hint="default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电缆两端标示牌悬挂整齐，标识清楚</w:t>
                  </w:r>
                </w:p>
                <w:p>
                  <w:pPr>
                    <w:numPr>
                      <w:ilvl w:val="0"/>
                      <w:numId w:val="2"/>
                    </w:numPr>
                    <w:rPr>
                      <w:rFonts w:hint="default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电缆穿管使用镀锌钢管，电缆管的内径与电缆管外径之比不得小于1.5</w:t>
                  </w:r>
                </w:p>
                <w:p>
                  <w:pPr>
                    <w:numPr>
                      <w:ilvl w:val="0"/>
                      <w:numId w:val="2"/>
                    </w:numPr>
                    <w:rPr>
                      <w:rFonts w:hint="default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电缆穿管在地下深埋不应小于0.7m，电缆穿管接地要可靠。</w:t>
                  </w:r>
                </w:p>
                <w:p>
                  <w:pPr>
                    <w:numPr>
                      <w:ilvl w:val="0"/>
                      <w:numId w:val="2"/>
                    </w:numPr>
                    <w:rPr>
                      <w:rFonts w:hint="default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剥电缆时避免划破芯线，屏蔽线应用2.5mm</w:t>
                  </w:r>
                  <w:r>
                    <w:rPr>
                      <w:rFonts w:hint="eastAsia" w:ascii="宋体" w:hAnsi="宋体" w:cs="宋体"/>
                      <w:color w:val="auto"/>
                      <w:kern w:val="2"/>
                      <w:sz w:val="21"/>
                      <w:szCs w:val="21"/>
                      <w:vertAlign w:val="superscript"/>
                      <w:lang w:val="en-US" w:eastAsia="zh-CN" w:bidi="ar-SA"/>
                    </w:rPr>
                    <w:t>2</w:t>
                  </w:r>
                  <w:r>
                    <w:rPr>
                      <w:rFonts w:hint="eastAsia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的黄绿相间的多股软铜线。</w:t>
                  </w:r>
                </w:p>
                <w:p>
                  <w:pPr>
                    <w:numPr>
                      <w:ilvl w:val="0"/>
                      <w:numId w:val="2"/>
                    </w:numPr>
                    <w:rPr>
                      <w:rFonts w:hint="default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热缩管长度保持在50mm左右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2" w:hRule="atLeast"/>
              </w:trPr>
              <w:tc>
                <w:tcPr>
                  <w:tcW w:w="1255" w:type="dxa"/>
                </w:tcPr>
                <w:p>
                  <w:pPr>
                    <w:rPr>
                      <w:rFonts w:hint="default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  <w:t>实测结果</w:t>
                  </w:r>
                </w:p>
              </w:tc>
              <w:tc>
                <w:tcPr>
                  <w:tcW w:w="9156" w:type="dxa"/>
                </w:tcPr>
                <w:p>
                  <w:pPr>
                    <w:numPr>
                      <w:ilvl w:val="0"/>
                      <w:numId w:val="0"/>
                    </w:numPr>
                    <w:rPr>
                      <w:rFonts w:hint="eastAsia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1、电缆统计清单校对无误</w:t>
                  </w:r>
                </w:p>
                <w:p>
                  <w:pPr>
                    <w:numPr>
                      <w:ilvl w:val="0"/>
                      <w:numId w:val="0"/>
                    </w:numPr>
                    <w:rPr>
                      <w:rFonts w:hint="default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2、拉动电缆时，前后作用力一致，电缆未打结</w:t>
                  </w:r>
                </w:p>
                <w:p>
                  <w:pPr>
                    <w:numPr>
                      <w:ilvl w:val="0"/>
                      <w:numId w:val="0"/>
                    </w:numPr>
                    <w:rPr>
                      <w:rFonts w:hint="default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3、电缆排列应整齐有序，每隔6米左右用绑扎线绑扎</w:t>
                  </w:r>
                </w:p>
                <w:p>
                  <w:pPr>
                    <w:numPr>
                      <w:ilvl w:val="0"/>
                      <w:numId w:val="0"/>
                    </w:numPr>
                    <w:rPr>
                      <w:rFonts w:hint="default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4、电缆两端标示牌悬挂整齐，标识清楚</w:t>
                  </w:r>
                </w:p>
                <w:p>
                  <w:pPr>
                    <w:numPr>
                      <w:ilvl w:val="0"/>
                      <w:numId w:val="0"/>
                    </w:numPr>
                    <w:rPr>
                      <w:rFonts w:hint="default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5、电缆穿管使用镀锌钢管，电缆管的内径与电缆管外径之比1.6</w:t>
                  </w:r>
                </w:p>
                <w:p>
                  <w:pPr>
                    <w:numPr>
                      <w:ilvl w:val="0"/>
                      <w:numId w:val="0"/>
                    </w:numPr>
                    <w:rPr>
                      <w:rFonts w:hint="default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6、电缆穿管在地下深埋0.7m，电缆穿管接地要可靠。</w:t>
                  </w:r>
                </w:p>
                <w:p>
                  <w:pPr>
                    <w:numPr>
                      <w:ilvl w:val="0"/>
                      <w:numId w:val="0"/>
                    </w:numPr>
                    <w:rPr>
                      <w:rFonts w:hint="default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7、剥电缆时未划破芯线，屏蔽线用2.5mm</w:t>
                  </w:r>
                  <w:r>
                    <w:rPr>
                      <w:rFonts w:hint="eastAsia" w:ascii="宋体" w:hAnsi="宋体" w:cs="宋体"/>
                      <w:color w:val="auto"/>
                      <w:kern w:val="2"/>
                      <w:sz w:val="21"/>
                      <w:szCs w:val="21"/>
                      <w:vertAlign w:val="superscript"/>
                      <w:lang w:val="en-US" w:eastAsia="zh-CN" w:bidi="ar-SA"/>
                    </w:rPr>
                    <w:t>2</w:t>
                  </w:r>
                  <w:r>
                    <w:rPr>
                      <w:rFonts w:hint="eastAsia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的黄绿相间的多股软铜线。</w:t>
                  </w:r>
                </w:p>
                <w:p>
                  <w:pPr>
                    <w:rPr>
                      <w:rFonts w:hint="default" w:ascii="宋体" w:hAnsi="宋体" w:cs="宋体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auto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8、热缩管长度保持在50mm左右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2" w:hRule="atLeast"/>
              </w:trPr>
              <w:tc>
                <w:tcPr>
                  <w:tcW w:w="1255" w:type="dxa"/>
                </w:tcPr>
                <w:p>
                  <w:pPr>
                    <w:rPr>
                      <w:rFonts w:hint="eastAsia" w:cs="Times New Roman"/>
                      <w:color w:val="auto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>验证结论</w:t>
                  </w:r>
                </w:p>
              </w:tc>
              <w:tc>
                <w:tcPr>
                  <w:tcW w:w="9156" w:type="dxa"/>
                </w:tcPr>
                <w:p>
                  <w:pPr>
                    <w:rPr>
                      <w:rFonts w:hint="eastAsia" w:ascii="宋体" w:hAnsi="宋体" w:eastAsia="宋体" w:cs="宋体"/>
                      <w:color w:va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sym w:font="Wingdings 2" w:char="0052"/>
                  </w: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2" w:hRule="atLeast"/>
              </w:trPr>
              <w:tc>
                <w:tcPr>
                  <w:tcW w:w="1255" w:type="dxa"/>
                  <w:vAlign w:val="top"/>
                </w:tcPr>
                <w:p>
                  <w:pPr>
                    <w:rPr>
                      <w:rFonts w:hint="default"/>
                      <w:color w:va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再次抽样</w:t>
                  </w:r>
                </w:p>
              </w:tc>
              <w:tc>
                <w:tcPr>
                  <w:tcW w:w="9156" w:type="dxa"/>
                  <w:vAlign w:val="top"/>
                </w:tcPr>
                <w:p>
                  <w:pPr>
                    <w:rPr>
                      <w:rFonts w:hint="default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val="en-US" w:eastAsia="zh-CN"/>
                    </w:rPr>
                    <w:t>------</w:t>
                  </w:r>
                </w:p>
              </w:tc>
            </w:tr>
          </w:tbl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rPr>
                <w:b/>
                <w:color w:val="000000" w:themeColor="text1"/>
                <w:spacing w:val="0"/>
                <w:szCs w:val="21"/>
              </w:rPr>
            </w:pPr>
            <w:r>
              <w:rPr>
                <w:rFonts w:hint="eastAsia"/>
                <w:b/>
                <w:color w:val="000000" w:themeColor="text1"/>
                <w:spacing w:val="0"/>
                <w:szCs w:val="21"/>
              </w:rPr>
              <w:t>临时场所：</w:t>
            </w:r>
            <w:r>
              <w:rPr>
                <w:rFonts w:hint="eastAsia"/>
                <w:color w:val="000000"/>
              </w:rPr>
              <w:t>安徽三联学院10KV配电项目备用电源改造项目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  <w:p>
            <w:pPr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查《环网柜现场安装记录》、《隐秘工程记录》</w:t>
            </w:r>
          </w:p>
          <w:p>
            <w:pPr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 xml:space="preserve">  </w:t>
            </w:r>
            <w:r>
              <w:rPr>
                <w:rFonts w:hint="eastAsia"/>
                <w:highlight w:val="none"/>
                <w:lang w:val="en-US" w:eastAsia="zh-CN"/>
              </w:rPr>
              <w:drawing>
                <wp:inline distT="0" distB="0" distL="114300" distR="114300">
                  <wp:extent cx="3113405" cy="5535295"/>
                  <wp:effectExtent l="0" t="0" r="10795" b="1905"/>
                  <wp:docPr id="20" name="图片 20" descr="0ad76ae7866418f3dc8dd77eabf4b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0ad76ae7866418f3dc8dd77eabf4ba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405" cy="553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highlight w:val="none"/>
                <w:lang w:val="en-US" w:eastAsia="zh-CN"/>
              </w:rPr>
              <w:t xml:space="preserve"> </w:t>
            </w:r>
            <w:r>
              <w:rPr>
                <w:rFonts w:hint="default"/>
                <w:highlight w:val="none"/>
                <w:lang w:val="en-US" w:eastAsia="zh-CN"/>
              </w:rPr>
              <w:drawing>
                <wp:inline distT="0" distB="0" distL="114300" distR="114300">
                  <wp:extent cx="3113405" cy="5535295"/>
                  <wp:effectExtent l="0" t="0" r="10795" b="1905"/>
                  <wp:docPr id="21" name="图片 21" descr="8ca866848608926aa71b6affadbab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8ca866848608926aa71b6affadbab6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405" cy="553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查《隐秘工程记录》，参照标准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GB50171-92《电气装置安装工程盘、柜及二次回路接线施工及验收规范》；GB50168-92《电气装置安装工程电缆线路施工及验收规范》，接地线的连接采用焊接，焊接处焊缝饱满，有足够的机械强度，无夹渣、咬肉、裂纹、虚焊、气孔，并作防腐处理。</w:t>
            </w:r>
          </w:p>
          <w:tbl>
            <w:tblPr>
              <w:tblStyle w:val="6"/>
              <w:tblpPr w:leftFromText="180" w:rightFromText="180" w:vertAnchor="text" w:horzAnchor="page" w:tblpX="-4109" w:tblpY="558"/>
              <w:tblOverlap w:val="never"/>
              <w:tblW w:w="10142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75"/>
              <w:gridCol w:w="955"/>
              <w:gridCol w:w="1825"/>
              <w:gridCol w:w="2075"/>
              <w:gridCol w:w="2387"/>
              <w:gridCol w:w="222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75" w:type="dxa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序号</w:t>
                  </w:r>
                </w:p>
              </w:tc>
              <w:tc>
                <w:tcPr>
                  <w:tcW w:w="955" w:type="dxa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特殊过程名称</w:t>
                  </w:r>
                </w:p>
              </w:tc>
              <w:tc>
                <w:tcPr>
                  <w:tcW w:w="1825" w:type="dxa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人员资格及技能</w:t>
                  </w:r>
                </w:p>
              </w:tc>
              <w:tc>
                <w:tcPr>
                  <w:tcW w:w="2075" w:type="dxa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作业方法</w:t>
                  </w:r>
                  <w:r>
                    <w:rPr>
                      <w:rFonts w:hint="eastAsia"/>
                      <w:sz w:val="18"/>
                      <w:szCs w:val="18"/>
                    </w:rPr>
                    <w:t>/程序</w:t>
                  </w:r>
                </w:p>
              </w:tc>
              <w:tc>
                <w:tcPr>
                  <w:tcW w:w="2387" w:type="dxa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设备能力确认</w:t>
                  </w:r>
                </w:p>
              </w:tc>
              <w:tc>
                <w:tcPr>
                  <w:tcW w:w="2225" w:type="dxa"/>
                  <w:vAlign w:val="top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确认记录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75" w:type="dxa"/>
                  <w:vAlign w:val="center"/>
                </w:tcPr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955" w:type="dxa"/>
                  <w:vAlign w:val="center"/>
                </w:tcPr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焊接</w:t>
                  </w:r>
                </w:p>
              </w:tc>
              <w:tc>
                <w:tcPr>
                  <w:tcW w:w="1825" w:type="dxa"/>
                </w:tcPr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经过确认，公司员工经过</w:t>
                  </w:r>
                  <w:r>
                    <w:rPr>
                      <w:sz w:val="18"/>
                      <w:szCs w:val="18"/>
                    </w:rPr>
                    <w:t>焊接</w:t>
                  </w:r>
                  <w:r>
                    <w:rPr>
                      <w:rFonts w:hint="eastAsia"/>
                      <w:sz w:val="18"/>
                      <w:szCs w:val="18"/>
                    </w:rPr>
                    <w:t>培训，具备从事焊接施工工作经验，能满足该工作岗位的技能要求</w:t>
                  </w:r>
                </w:p>
              </w:tc>
              <w:tc>
                <w:tcPr>
                  <w:tcW w:w="2075" w:type="dxa"/>
                </w:tcPr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根据建筑企业施工过程的特点，公司依据施工的要求针对焊接过程制定了《过程控制程序》、《施工作业指导书汇编》并严格依据文件组织生产。</w:t>
                  </w:r>
                </w:p>
              </w:tc>
              <w:tc>
                <w:tcPr>
                  <w:tcW w:w="2387" w:type="dxa"/>
                </w:tcPr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经过确认，焊接作业所使用的设备（电焊机）均经过项目部按照《设备管理控制程序》的规定进行进场验收合格，并在使用过程中进行维护保养，符合焊接作业使用要求</w:t>
                  </w:r>
                </w:p>
              </w:tc>
              <w:tc>
                <w:tcPr>
                  <w:tcW w:w="2225" w:type="dxa"/>
                  <w:vAlign w:val="top"/>
                </w:tcPr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经过确认，焊接作业人员严格依据《施工作业指导书汇编》文件组织施工，对施工情况做记录，形成《钢材焊接实验报告》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75" w:type="dxa"/>
                  <w:vAlign w:val="center"/>
                </w:tcPr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955" w:type="dxa"/>
                  <w:vAlign w:val="center"/>
                </w:tcPr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隐蔽工程</w:t>
                  </w:r>
                </w:p>
              </w:tc>
              <w:tc>
                <w:tcPr>
                  <w:tcW w:w="1825" w:type="dxa"/>
                </w:tcPr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公司施工员工经过隐蔽工程培训，具备从线路隐蔽处理工作的工作经验，能满足该岗位的技能要求</w:t>
                  </w:r>
                </w:p>
              </w:tc>
              <w:tc>
                <w:tcPr>
                  <w:tcW w:w="2075" w:type="dxa"/>
                </w:tcPr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根据建筑企业施工过程的特点，公司依据施工的要求针对施工过程制定了《过程控制程序》、《施工作业指导书汇编》并严格依据文件组织生产。</w:t>
                  </w:r>
                </w:p>
              </w:tc>
              <w:tc>
                <w:tcPr>
                  <w:tcW w:w="2387" w:type="dxa"/>
                </w:tcPr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经过确认，管线施工室内装修管线用的电锤、室外管道用的挖机等均经过项目部按照《设备管理控制程序》的规定进行进场验收合格，并在使用过程中进行维护保养，符合管线施工要求</w:t>
                  </w:r>
                </w:p>
              </w:tc>
              <w:tc>
                <w:tcPr>
                  <w:tcW w:w="2225" w:type="dxa"/>
                  <w:vAlign w:val="top"/>
                </w:tcPr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经过确认，隐蔽工程施工人员工作认真负责，能完整地按工程技术人员的安全技术交底施工，并经质量验收符合质量标准《施工质量验收评定表》</w:t>
                  </w:r>
                </w:p>
              </w:tc>
            </w:tr>
          </w:tbl>
          <w:p>
            <w:pPr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查看需要确认的过程控制：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u w:val="singl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</w:t>
            </w:r>
            <w:r>
              <w:rPr>
                <w:rFonts w:hint="eastAsia"/>
                <w:b/>
                <w:bCs/>
                <w:lang w:val="en-US" w:eastAsia="zh-CN"/>
              </w:rPr>
              <w:t>过程确认</w:t>
            </w:r>
            <w:r>
              <w:rPr>
                <w:rFonts w:hint="eastAsia"/>
                <w:lang w:val="en-US" w:eastAsia="zh-CN"/>
              </w:rPr>
              <w:t>相关记录名称：</w:t>
            </w:r>
            <w:r>
              <w:rPr>
                <w:rFonts w:hint="eastAsia"/>
                <w:u w:val="single"/>
                <w:lang w:val="en-US" w:eastAsia="zh-CN"/>
              </w:rPr>
              <w:t>《 特殊过程确认记录    》（适用时）</w:t>
            </w:r>
          </w:p>
          <w:p>
            <w:pPr>
              <w:rPr>
                <w:rFonts w:hint="default"/>
                <w:highlight w:val="cyan"/>
                <w:lang w:val="en-US" w:eastAsia="zh-CN"/>
              </w:rPr>
            </w:pPr>
          </w:p>
          <w:p>
            <w:pPr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</w:rPr>
              <w:t>采取防范人为错误</w:t>
            </w:r>
            <w:r>
              <w:rPr>
                <w:rFonts w:hint="eastAsia"/>
                <w:highlight w:val="none"/>
                <w:lang w:val="en-US" w:eastAsia="zh-CN"/>
              </w:rPr>
              <w:t>的</w:t>
            </w:r>
            <w:r>
              <w:rPr>
                <w:rFonts w:hint="eastAsia"/>
                <w:highlight w:val="none"/>
              </w:rPr>
              <w:t>措施；</w:t>
            </w:r>
            <w:r>
              <w:rPr>
                <w:rFonts w:hint="eastAsia"/>
                <w:highlight w:val="none"/>
                <w:u w:val="single"/>
                <w:lang w:val="en-US" w:eastAsia="zh-CN"/>
              </w:rPr>
              <w:t xml:space="preserve">                              </w:t>
            </w:r>
          </w:p>
          <w:p>
            <w:pPr>
              <w:rPr>
                <w:rFonts w:hint="eastAsia"/>
                <w:highlight w:val="cyan"/>
                <w:lang w:val="en-US" w:eastAsia="zh-CN"/>
              </w:rPr>
            </w:pPr>
          </w:p>
          <w:p>
            <w:pPr>
              <w:rPr>
                <w:rFonts w:hint="default"/>
                <w:color w:val="000000" w:themeColor="text1"/>
                <w:highlight w:val="none"/>
                <w:lang w:val="en-US" w:eastAsia="zh-CN"/>
              </w:rPr>
            </w:pPr>
            <w:r>
              <w:rPr>
                <w:rFonts w:hint="eastAsia"/>
                <w:color w:val="000000" w:themeColor="text1"/>
                <w:highlight w:val="none"/>
                <w:lang w:val="en-US" w:eastAsia="zh-CN"/>
              </w:rPr>
              <w:t>对于产品行业的运输控制：不适用</w:t>
            </w:r>
          </w:p>
          <w:p>
            <w:pPr>
              <w:rPr>
                <w:rFonts w:hint="default" w:eastAsia="宋体"/>
                <w:color w:val="000000" w:themeColor="text1"/>
                <w:highlight w:val="none"/>
                <w:lang w:val="en-US" w:eastAsia="zh-CN"/>
              </w:rPr>
            </w:pPr>
            <w:r>
              <w:rPr>
                <w:rFonts w:hint="eastAsia"/>
                <w:color w:val="000000" w:themeColor="text1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/>
                <w:color w:val="000000" w:themeColor="text1"/>
                <w:highlight w:val="none"/>
                <w:lang w:val="en-US" w:eastAsia="zh-CN"/>
              </w:rPr>
              <w:t xml:space="preserve">车辆卫生清洁  </w:t>
            </w:r>
            <w:r>
              <w:rPr>
                <w:rFonts w:hint="eastAsia"/>
                <w:color w:val="000000" w:themeColor="text1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/>
                <w:color w:val="000000" w:themeColor="text1"/>
                <w:highlight w:val="none"/>
                <w:lang w:val="en-US" w:eastAsia="zh-CN"/>
              </w:rPr>
              <w:t xml:space="preserve">不与有毒有害物质混匀  </w:t>
            </w:r>
            <w:r>
              <w:rPr>
                <w:rFonts w:hint="eastAsia"/>
                <w:color w:val="000000" w:themeColor="text1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/>
                <w:color w:val="000000" w:themeColor="text1"/>
                <w:highlight w:val="none"/>
                <w:lang w:val="en-US" w:eastAsia="zh-CN"/>
              </w:rPr>
              <w:t>保温车辆的温度</w:t>
            </w:r>
            <w:r>
              <w:rPr>
                <w:rFonts w:hint="eastAsia"/>
                <w:color w:val="000000" w:themeColor="text1"/>
                <w:highlight w:val="none"/>
                <w:u w:val="single"/>
                <w:lang w:val="en-US" w:eastAsia="zh-CN"/>
              </w:rPr>
              <w:t xml:space="preserve">     </w:t>
            </w:r>
            <w:r>
              <w:rPr>
                <w:rFonts w:hint="eastAsia"/>
                <w:color w:val="000000" w:themeColor="text1"/>
                <w:highlight w:val="none"/>
                <w:lang w:val="en-US" w:eastAsia="zh-CN"/>
              </w:rPr>
              <w:t>℃</w:t>
            </w:r>
          </w:p>
          <w:p/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对于危化品行业运输：无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/>
                <w:highlight w:val="none"/>
                <w:lang w:val="en-US" w:eastAsia="zh-CN"/>
              </w:rPr>
              <w:t xml:space="preserve">车辆行驶许可证  </w:t>
            </w:r>
            <w:r>
              <w:rPr>
                <w:rFonts w:hint="eastAsia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/>
                <w:highlight w:val="none"/>
                <w:lang w:val="en-US" w:eastAsia="zh-CN"/>
              </w:rPr>
              <w:t xml:space="preserve">按照预定路线行驶  </w:t>
            </w:r>
            <w:r>
              <w:rPr>
                <w:rFonts w:hint="eastAsia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/>
                <w:highlight w:val="none"/>
                <w:lang w:val="en-US" w:eastAsia="zh-CN"/>
              </w:rPr>
              <w:t xml:space="preserve">泄露处理措施 </w:t>
            </w:r>
            <w:r>
              <w:rPr>
                <w:rFonts w:hint="eastAsia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/>
                <w:highlight w:val="none"/>
                <w:lang w:val="en-US" w:eastAsia="zh-CN"/>
              </w:rPr>
              <w:t xml:space="preserve">火灾处理措施  </w:t>
            </w:r>
            <w:r>
              <w:rPr>
                <w:rFonts w:hint="eastAsia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/>
                <w:highlight w:val="none"/>
                <w:lang w:val="en-US" w:eastAsia="zh-CN"/>
              </w:rPr>
              <w:t>其他</w:t>
            </w:r>
          </w:p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现场观察</w:t>
            </w:r>
          </w:p>
        </w:tc>
        <w:tc>
          <w:tcPr>
            <w:tcW w:w="10423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查看关键岗位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rPr>
                <w:rFonts w:hint="eastAsia"/>
                <w:lang w:eastAsia="zh-CN"/>
              </w:rPr>
              <w:t>是否按操作要求进行操作：</w:t>
            </w:r>
            <w:r>
              <w:rPr>
                <w:rFonts w:hint="eastAsia"/>
                <w:lang w:val="en-US" w:eastAsia="zh-CN"/>
              </w:rPr>
              <w:t>符合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抽样询问</w:t>
            </w:r>
            <w:r>
              <w:rPr>
                <w:rFonts w:hint="eastAsia"/>
                <w:lang w:eastAsia="zh-CN"/>
              </w:rPr>
              <w:t>关键岗位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rPr>
                <w:rFonts w:hint="eastAsia"/>
                <w:lang w:eastAsia="zh-CN"/>
              </w:rPr>
              <w:t>是否</w:t>
            </w:r>
            <w:r>
              <w:rPr>
                <w:rFonts w:hint="eastAsia"/>
                <w:lang w:val="en-US" w:eastAsia="zh-CN"/>
              </w:rPr>
              <w:t>熟悉</w:t>
            </w:r>
            <w:r>
              <w:rPr>
                <w:rFonts w:hint="eastAsia"/>
                <w:lang w:eastAsia="zh-CN"/>
              </w:rPr>
              <w:t>按操作要求：</w:t>
            </w:r>
            <w:r>
              <w:rPr>
                <w:rFonts w:hint="eastAsia"/>
                <w:lang w:val="en-US" w:eastAsia="zh-CN"/>
              </w:rPr>
              <w:t>符合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查看关键岗位</w:t>
            </w:r>
            <w:r>
              <w:rPr>
                <w:rFonts w:hint="eastAsia"/>
                <w:lang w:val="en-US" w:eastAsia="zh-CN"/>
              </w:rPr>
              <w:t>的控制参数</w:t>
            </w:r>
            <w:r>
              <w:rPr>
                <w:rFonts w:hint="eastAsia"/>
                <w:lang w:eastAsia="zh-CN"/>
              </w:rPr>
              <w:t>是否按操作要求进行操作：</w:t>
            </w:r>
            <w:r>
              <w:rPr>
                <w:rFonts w:hint="eastAsia"/>
                <w:lang w:val="en-US" w:eastAsia="zh-CN"/>
              </w:rPr>
              <w:t>符合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查看是否按要求实施了</w:t>
            </w:r>
            <w:r>
              <w:rPr>
                <w:rFonts w:hint="eastAsia"/>
                <w:lang w:val="en-US" w:eastAsia="zh-CN"/>
              </w:rPr>
              <w:t>产品</w:t>
            </w:r>
            <w:r>
              <w:rPr>
                <w:rFonts w:hint="eastAsia"/>
                <w:lang w:eastAsia="zh-CN"/>
              </w:rPr>
              <w:t>标识：</w:t>
            </w:r>
            <w:r>
              <w:rPr>
                <w:rFonts w:hint="eastAsia"/>
                <w:lang w:val="en-US" w:eastAsia="zh-CN"/>
              </w:rPr>
              <w:t>符合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查看是否按要求实施了状态标识：</w:t>
            </w:r>
            <w:r>
              <w:rPr>
                <w:rFonts w:hint="eastAsia"/>
                <w:lang w:val="en-US" w:eastAsia="zh-CN"/>
              </w:rPr>
              <w:t>符合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查看是否使用了</w:t>
            </w:r>
            <w:r>
              <w:rPr>
                <w:rFonts w:hint="eastAsia"/>
                <w:lang w:val="en-US" w:eastAsia="zh-CN"/>
              </w:rPr>
              <w:t>经校准</w:t>
            </w:r>
            <w:r>
              <w:rPr>
                <w:rFonts w:hint="eastAsia"/>
                <w:lang w:eastAsia="zh-CN"/>
              </w:rPr>
              <w:t>的监视测量设备：</w:t>
            </w:r>
            <w:r>
              <w:rPr>
                <w:rFonts w:hint="eastAsia"/>
                <w:lang w:val="en-US" w:eastAsia="zh-CN"/>
              </w:rPr>
              <w:t>不符合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查看设备</w:t>
            </w:r>
            <w:r>
              <w:rPr>
                <w:rFonts w:hint="eastAsia"/>
                <w:lang w:val="en-US" w:eastAsia="zh-CN"/>
              </w:rPr>
              <w:t>的完好情况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>符合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查看</w:t>
            </w:r>
            <w:r>
              <w:rPr>
                <w:rFonts w:hint="eastAsia"/>
                <w:lang w:val="en-US" w:eastAsia="zh-CN"/>
              </w:rPr>
              <w:t>生产/服务环境情况</w:t>
            </w:r>
            <w:r>
              <w:rPr>
                <w:rFonts w:hint="eastAsia"/>
                <w:lang w:eastAsia="zh-CN"/>
              </w:rPr>
              <w:t>。</w:t>
            </w:r>
          </w:p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566" w:type="dxa"/>
            <w:vMerge w:val="restart"/>
          </w:tcPr>
          <w:p>
            <w:r>
              <w:rPr>
                <w:rFonts w:hint="eastAsia"/>
              </w:rPr>
              <w:t>标识和可追溯性</w:t>
            </w:r>
          </w:p>
        </w:tc>
        <w:tc>
          <w:tcPr>
            <w:tcW w:w="81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>8.5.2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423" w:type="dxa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如：《生产和服务提供的控制程序》</w:t>
            </w:r>
          </w:p>
        </w:tc>
        <w:tc>
          <w:tcPr>
            <w:tcW w:w="1149" w:type="dxa"/>
            <w:vMerge w:val="restart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  <w:p>
            <w:pPr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423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产品的检验状态标识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待检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待下结论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eastAsia="zh-CN"/>
              </w:rPr>
              <w:t>合格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eastAsia="zh-CN"/>
              </w:rPr>
              <w:t>不合格</w:t>
            </w:r>
            <w:r>
              <w:rPr>
                <w:rFonts w:hint="eastAsia"/>
                <w:lang w:val="en-US" w:eastAsia="zh-CN"/>
              </w:rPr>
              <w:t xml:space="preserve"> 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原材料</w:t>
            </w:r>
            <w:r>
              <w:rPr>
                <w:rFonts w:hint="eastAsia"/>
                <w:lang w:eastAsia="zh-CN"/>
              </w:rPr>
              <w:t>的唯一性标识</w:t>
            </w:r>
            <w:r>
              <w:rPr>
                <w:rFonts w:hint="eastAsia"/>
                <w:lang w:val="en-US" w:eastAsia="zh-CN"/>
              </w:rPr>
              <w:t>方式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容器</w:t>
            </w:r>
            <w:r>
              <w:rPr>
                <w:rFonts w:hint="eastAsia"/>
                <w:lang w:eastAsia="zh-CN"/>
              </w:rPr>
              <w:t>编号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标牌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标签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区域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周装箱的颜色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批</w:t>
            </w:r>
            <w:r>
              <w:rPr>
                <w:rFonts w:hint="eastAsia"/>
                <w:lang w:eastAsia="zh-CN"/>
              </w:rPr>
              <w:t>号</w:t>
            </w:r>
            <w:r>
              <w:rPr>
                <w:rFonts w:hint="eastAsia"/>
                <w:lang w:val="en-US" w:eastAsia="zh-CN"/>
              </w:rPr>
              <w:t xml:space="preserve">打码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条形码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二维码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其他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半成品</w:t>
            </w:r>
            <w:r>
              <w:rPr>
                <w:rFonts w:hint="eastAsia"/>
                <w:lang w:eastAsia="zh-CN"/>
              </w:rPr>
              <w:t>的唯一性标识</w:t>
            </w:r>
            <w:r>
              <w:rPr>
                <w:rFonts w:hint="eastAsia"/>
                <w:lang w:val="en-US" w:eastAsia="zh-CN"/>
              </w:rPr>
              <w:t>方式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容器</w:t>
            </w:r>
            <w:r>
              <w:rPr>
                <w:rFonts w:hint="eastAsia"/>
                <w:lang w:eastAsia="zh-CN"/>
              </w:rPr>
              <w:t>编号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标牌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标签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区域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周装箱的颜色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批</w:t>
            </w:r>
            <w:r>
              <w:rPr>
                <w:rFonts w:hint="eastAsia"/>
                <w:lang w:eastAsia="zh-CN"/>
              </w:rPr>
              <w:t>号</w:t>
            </w:r>
            <w:r>
              <w:rPr>
                <w:rFonts w:hint="eastAsia"/>
                <w:lang w:val="en-US" w:eastAsia="zh-CN"/>
              </w:rPr>
              <w:t xml:space="preserve">打码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条形码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二维码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其他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成品</w:t>
            </w:r>
            <w:r>
              <w:rPr>
                <w:rFonts w:hint="eastAsia"/>
                <w:lang w:eastAsia="zh-CN"/>
              </w:rPr>
              <w:t>的唯一性标识</w:t>
            </w:r>
            <w:r>
              <w:rPr>
                <w:rFonts w:hint="eastAsia"/>
                <w:lang w:val="en-US" w:eastAsia="zh-CN"/>
              </w:rPr>
              <w:t>方式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容器</w:t>
            </w:r>
            <w:r>
              <w:rPr>
                <w:rFonts w:hint="eastAsia"/>
                <w:lang w:eastAsia="zh-CN"/>
              </w:rPr>
              <w:t>编号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标牌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标签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区域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周装箱的颜色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批</w:t>
            </w:r>
            <w:r>
              <w:rPr>
                <w:rFonts w:hint="eastAsia"/>
                <w:lang w:eastAsia="zh-CN"/>
              </w:rPr>
              <w:t>号</w:t>
            </w:r>
            <w:r>
              <w:rPr>
                <w:rFonts w:hint="eastAsia"/>
                <w:lang w:val="en-US" w:eastAsia="zh-CN"/>
              </w:rPr>
              <w:t xml:space="preserve">打码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条形码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二维码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其他</w:t>
            </w: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追溯</w:t>
            </w:r>
            <w:r>
              <w:rPr>
                <w:rFonts w:hint="eastAsia"/>
                <w:lang w:val="en-US" w:eastAsia="zh-CN"/>
              </w:rPr>
              <w:t>原因：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演练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质量事故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顾客投诉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市场抽查不合格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 无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20"/>
              <w:gridCol w:w="2557"/>
              <w:gridCol w:w="1228"/>
              <w:gridCol w:w="1145"/>
              <w:gridCol w:w="1264"/>
              <w:gridCol w:w="1145"/>
              <w:gridCol w:w="98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20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产品批号</w:t>
                  </w:r>
                </w:p>
              </w:tc>
              <w:tc>
                <w:tcPr>
                  <w:tcW w:w="2557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不合格简述</w:t>
                  </w:r>
                </w:p>
              </w:tc>
              <w:tc>
                <w:tcPr>
                  <w:tcW w:w="1228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default"/>
                      <w:lang w:val="en-US" w:eastAsia="zh-CN"/>
                    </w:rPr>
                    <w:t>生产记录</w:t>
                  </w:r>
                  <w:r>
                    <w:rPr>
                      <w:rFonts w:hint="eastAsia"/>
                      <w:lang w:val="en-US" w:eastAsia="zh-CN"/>
                    </w:rPr>
                    <w:t>情况</w:t>
                  </w:r>
                </w:p>
              </w:tc>
              <w:tc>
                <w:tcPr>
                  <w:tcW w:w="1145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default"/>
                      <w:lang w:val="en-US" w:eastAsia="zh-CN"/>
                    </w:rPr>
                    <w:t>检验记录</w:t>
                  </w:r>
                  <w:r>
                    <w:rPr>
                      <w:rFonts w:hint="eastAsia"/>
                      <w:lang w:val="en-US" w:eastAsia="zh-CN"/>
                    </w:rPr>
                    <w:t>情况</w:t>
                  </w:r>
                </w:p>
              </w:tc>
              <w:tc>
                <w:tcPr>
                  <w:tcW w:w="1264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default"/>
                      <w:lang w:val="en-US" w:eastAsia="zh-CN"/>
                    </w:rPr>
                    <w:t>采购记录</w:t>
                  </w:r>
                  <w:r>
                    <w:rPr>
                      <w:rFonts w:hint="eastAsia"/>
                      <w:lang w:val="en-US" w:eastAsia="zh-CN"/>
                    </w:rPr>
                    <w:t>情况</w:t>
                  </w:r>
                </w:p>
              </w:tc>
              <w:tc>
                <w:tcPr>
                  <w:tcW w:w="1145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default"/>
                      <w:lang w:val="en-US" w:eastAsia="zh-CN"/>
                    </w:rPr>
                    <w:t>产品留样</w:t>
                  </w:r>
                  <w:r>
                    <w:rPr>
                      <w:rFonts w:hint="eastAsia"/>
                      <w:lang w:val="en-US" w:eastAsia="zh-CN"/>
                    </w:rPr>
                    <w:t>确认</w:t>
                  </w:r>
                </w:p>
              </w:tc>
              <w:tc>
                <w:tcPr>
                  <w:tcW w:w="984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default"/>
                      <w:lang w:val="en-US" w:eastAsia="zh-CN"/>
                    </w:rPr>
                    <w:t>销售记录</w:t>
                  </w:r>
                  <w:r>
                    <w:rPr>
                      <w:rFonts w:hint="eastAsia"/>
                      <w:lang w:val="en-US" w:eastAsia="zh-CN"/>
                    </w:rPr>
                    <w:t>追踪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720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557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--</w:t>
                  </w:r>
                </w:p>
              </w:tc>
              <w:tc>
                <w:tcPr>
                  <w:tcW w:w="1228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145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264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145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984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20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557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228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145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264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145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984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20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557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228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145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264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145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984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产品留样（适用时）不适用</w:t>
            </w:r>
          </w:p>
          <w:p>
            <w:pPr>
              <w:rPr>
                <w:rFonts w:hint="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抽查产品留样记录：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808"/>
              <w:gridCol w:w="1808"/>
              <w:gridCol w:w="1809"/>
              <w:gridCol w:w="1809"/>
              <w:gridCol w:w="180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808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  <w:t>产品名称</w:t>
                  </w:r>
                </w:p>
              </w:tc>
              <w:tc>
                <w:tcPr>
                  <w:tcW w:w="1808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  <w:t>规格</w:t>
                  </w:r>
                </w:p>
              </w:tc>
              <w:tc>
                <w:tcPr>
                  <w:tcW w:w="1809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  <w:t>生产日期</w:t>
                  </w:r>
                </w:p>
              </w:tc>
              <w:tc>
                <w:tcPr>
                  <w:tcW w:w="1809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  <w:t>保存期限</w:t>
                  </w:r>
                </w:p>
              </w:tc>
              <w:tc>
                <w:tcPr>
                  <w:tcW w:w="1809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  <w:t>保存状态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808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808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809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809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809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现场观察</w:t>
            </w:r>
          </w:p>
        </w:tc>
        <w:tc>
          <w:tcPr>
            <w:tcW w:w="10423" w:type="dxa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在生产或服务场所对原材料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  <w:lang w:val="en-US" w:eastAsia="zh-CN"/>
              </w:rPr>
              <w:t>标识情况：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区分清楚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防护得当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不适宜说明：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在生产或服务场所对半成品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  <w:lang w:val="en-US" w:eastAsia="zh-CN"/>
              </w:rPr>
              <w:t>标识情况：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区分清楚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防护得当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不适宜说明：</w:t>
            </w:r>
          </w:p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在生产或服务场所对成品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  <w:lang w:val="en-US" w:eastAsia="zh-CN"/>
              </w:rPr>
              <w:t xml:space="preserve">标识情况：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区分清楚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防护得当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不适宜说明：</w:t>
            </w:r>
          </w:p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566" w:type="dxa"/>
            <w:vMerge w:val="restart"/>
          </w:tcPr>
          <w:p>
            <w:r>
              <w:rPr>
                <w:rFonts w:hint="eastAsia"/>
              </w:rPr>
              <w:t>顾客或外部供方的财产</w:t>
            </w:r>
          </w:p>
        </w:tc>
        <w:tc>
          <w:tcPr>
            <w:tcW w:w="81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 xml:space="preserve">8.5.3 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423" w:type="dxa"/>
            <w:vAlign w:val="top"/>
          </w:tcPr>
          <w:p>
            <w:r>
              <w:rPr>
                <w:rFonts w:hint="eastAsia"/>
              </w:rPr>
              <w:t>如：</w:t>
            </w:r>
            <w:r>
              <w:rPr>
                <w:rFonts w:hint="eastAsia"/>
                <w:lang w:val="en-US" w:eastAsia="zh-CN"/>
              </w:rPr>
              <w:t>手册8.5</w:t>
            </w:r>
          </w:p>
        </w:tc>
        <w:tc>
          <w:tcPr>
            <w:tcW w:w="1149" w:type="dxa"/>
            <w:vMerge w:val="restart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  <w:p>
            <w:pPr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4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423" w:type="dxa"/>
            <w:vAlign w:val="top"/>
          </w:tcPr>
          <w:p>
            <w:r>
              <w:rPr>
                <w:rFonts w:hint="eastAsia"/>
              </w:rPr>
              <w:t>顾客或外部供方的财产种类：</w:t>
            </w:r>
          </w:p>
          <w:p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原材料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零部件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工具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设备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顾客的场所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知识产权 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个人信息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其他</w:t>
            </w:r>
          </w:p>
          <w:p/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62"/>
              <w:gridCol w:w="1975"/>
              <w:gridCol w:w="1606"/>
              <w:gridCol w:w="1293"/>
              <w:gridCol w:w="1554"/>
              <w:gridCol w:w="155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62" w:type="dxa"/>
                </w:tcPr>
                <w:p>
                  <w:r>
                    <w:rPr>
                      <w:rFonts w:hint="eastAsia"/>
                    </w:rPr>
                    <w:t>财产名称</w:t>
                  </w:r>
                </w:p>
              </w:tc>
              <w:tc>
                <w:tcPr>
                  <w:tcW w:w="1975" w:type="dxa"/>
                </w:tcPr>
                <w:p>
                  <w:r>
                    <w:rPr>
                      <w:rFonts w:hint="eastAsia"/>
                    </w:rPr>
                    <w:t>提供方</w:t>
                  </w:r>
                </w:p>
              </w:tc>
              <w:tc>
                <w:tcPr>
                  <w:tcW w:w="1606" w:type="dxa"/>
                </w:tcPr>
                <w:p>
                  <w:r>
                    <w:rPr>
                      <w:rFonts w:hint="eastAsia"/>
                    </w:rPr>
                    <w:t>提供方名称</w:t>
                  </w:r>
                </w:p>
              </w:tc>
              <w:tc>
                <w:tcPr>
                  <w:tcW w:w="1293" w:type="dxa"/>
                </w:tcPr>
                <w:p>
                  <w:r>
                    <w:rPr>
                      <w:rFonts w:hint="eastAsia"/>
                    </w:rPr>
                    <w:t>验证日期</w:t>
                  </w:r>
                </w:p>
              </w:tc>
              <w:tc>
                <w:tcPr>
                  <w:tcW w:w="1554" w:type="dxa"/>
                </w:tcPr>
                <w:p>
                  <w:r>
                    <w:rPr>
                      <w:rFonts w:hint="eastAsia"/>
                    </w:rPr>
                    <w:t>标识明确清楚</w:t>
                  </w:r>
                </w:p>
              </w:tc>
              <w:tc>
                <w:tcPr>
                  <w:tcW w:w="1553" w:type="dxa"/>
                </w:tcPr>
                <w:p>
                  <w:r>
                    <w:rPr>
                      <w:rFonts w:hint="eastAsia"/>
                    </w:rPr>
                    <w:t>保护/防护适宜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62" w:type="dxa"/>
                </w:tcPr>
                <w:p>
                  <w:r>
                    <w:rPr>
                      <w:rFonts w:hint="eastAsia"/>
                    </w:rPr>
                    <w:t>个人信息</w:t>
                  </w:r>
                </w:p>
              </w:tc>
              <w:tc>
                <w:tcPr>
                  <w:tcW w:w="1975" w:type="dxa"/>
                </w:tcPr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外部供方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顾客</w:t>
                  </w:r>
                </w:p>
              </w:tc>
              <w:tc>
                <w:tcPr>
                  <w:tcW w:w="1606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阜南名邦。运河印象</w:t>
                  </w:r>
                </w:p>
              </w:tc>
              <w:tc>
                <w:tcPr>
                  <w:tcW w:w="1293" w:type="dxa"/>
                </w:tcPr>
                <w:p/>
              </w:tc>
              <w:tc>
                <w:tcPr>
                  <w:tcW w:w="1554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是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553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是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否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62" w:type="dxa"/>
                </w:tcPr>
                <w:p>
                  <w:r>
                    <w:rPr>
                      <w:rFonts w:hint="eastAsia"/>
                    </w:rPr>
                    <w:t>个人信息</w:t>
                  </w:r>
                </w:p>
              </w:tc>
              <w:tc>
                <w:tcPr>
                  <w:tcW w:w="1975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外部供方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顾客</w:t>
                  </w:r>
                </w:p>
              </w:tc>
              <w:tc>
                <w:tcPr>
                  <w:tcW w:w="1606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default" w:eastAsia="宋体"/>
                      <w:lang w:val="en-US" w:eastAsia="zh-CN"/>
                    </w:rPr>
                    <w:t>合肥鑫伟电力设备有限公司</w:t>
                  </w:r>
                </w:p>
              </w:tc>
              <w:tc>
                <w:tcPr>
                  <w:tcW w:w="1293" w:type="dxa"/>
                </w:tcPr>
                <w:p/>
              </w:tc>
              <w:tc>
                <w:tcPr>
                  <w:tcW w:w="1554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是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553" w:type="dxa"/>
                </w:tcPr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是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否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62" w:type="dxa"/>
                </w:tcPr>
                <w:p/>
              </w:tc>
              <w:tc>
                <w:tcPr>
                  <w:tcW w:w="1975" w:type="dxa"/>
                </w:tcPr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外部供方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顾客</w:t>
                  </w:r>
                </w:p>
              </w:tc>
              <w:tc>
                <w:tcPr>
                  <w:tcW w:w="1606" w:type="dxa"/>
                </w:tcPr>
                <w:p/>
              </w:tc>
              <w:tc>
                <w:tcPr>
                  <w:tcW w:w="1293" w:type="dxa"/>
                </w:tcPr>
                <w:p/>
              </w:tc>
              <w:tc>
                <w:tcPr>
                  <w:tcW w:w="1554" w:type="dxa"/>
                </w:tcPr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是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553" w:type="dxa"/>
                </w:tcPr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是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否</w:t>
                  </w:r>
                </w:p>
              </w:tc>
            </w:tr>
          </w:tbl>
          <w:p>
            <w:pPr>
              <w:rPr>
                <w:rFonts w:hint="eastAsia"/>
              </w:rPr>
            </w:pPr>
          </w:p>
          <w:p>
            <w:r>
              <w:rPr>
                <w:rFonts w:hint="eastAsia"/>
              </w:rPr>
              <w:t xml:space="preserve">异常情况处理：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已发生 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未发生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62"/>
              <w:gridCol w:w="1975"/>
              <w:gridCol w:w="2262"/>
              <w:gridCol w:w="2344"/>
              <w:gridCol w:w="14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62" w:type="dxa"/>
                </w:tcPr>
                <w:p>
                  <w:r>
                    <w:rPr>
                      <w:rFonts w:hint="eastAsia"/>
                    </w:rPr>
                    <w:t>财产名称</w:t>
                  </w:r>
                </w:p>
              </w:tc>
              <w:tc>
                <w:tcPr>
                  <w:tcW w:w="1975" w:type="dxa"/>
                </w:tcPr>
                <w:p>
                  <w:r>
                    <w:rPr>
                      <w:rFonts w:hint="eastAsia"/>
                    </w:rPr>
                    <w:t>提供方名称</w:t>
                  </w:r>
                </w:p>
              </w:tc>
              <w:tc>
                <w:tcPr>
                  <w:tcW w:w="2262" w:type="dxa"/>
                </w:tcPr>
                <w:p>
                  <w:r>
                    <w:rPr>
                      <w:rFonts w:hint="eastAsia"/>
                    </w:rPr>
                    <w:t>异常原因</w:t>
                  </w:r>
                </w:p>
              </w:tc>
              <w:tc>
                <w:tcPr>
                  <w:tcW w:w="2344" w:type="dxa"/>
                </w:tcPr>
                <w:p>
                  <w:r>
                    <w:rPr>
                      <w:rFonts w:hint="eastAsia"/>
                    </w:rPr>
                    <w:t>异常简述</w:t>
                  </w:r>
                </w:p>
              </w:tc>
              <w:tc>
                <w:tcPr>
                  <w:tcW w:w="1400" w:type="dxa"/>
                </w:tcPr>
                <w:p>
                  <w:r>
                    <w:rPr>
                      <w:rFonts w:hint="eastAsia"/>
                    </w:rPr>
                    <w:t>报告日期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62" w:type="dxa"/>
                </w:tcPr>
                <w:p/>
              </w:tc>
              <w:tc>
                <w:tcPr>
                  <w:tcW w:w="1975" w:type="dxa"/>
                </w:tcPr>
                <w:p/>
              </w:tc>
              <w:tc>
                <w:tcPr>
                  <w:tcW w:w="2262" w:type="dxa"/>
                </w:tcPr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丢失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损坏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不适用</w:t>
                  </w:r>
                </w:p>
              </w:tc>
              <w:tc>
                <w:tcPr>
                  <w:tcW w:w="2344" w:type="dxa"/>
                </w:tcPr>
                <w:p/>
              </w:tc>
              <w:tc>
                <w:tcPr>
                  <w:tcW w:w="1400" w:type="dxa"/>
                </w:tcPr>
                <w:p/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62" w:type="dxa"/>
                </w:tcPr>
                <w:p/>
              </w:tc>
              <w:tc>
                <w:tcPr>
                  <w:tcW w:w="1975" w:type="dxa"/>
                </w:tcPr>
                <w:p/>
              </w:tc>
              <w:tc>
                <w:tcPr>
                  <w:tcW w:w="2262" w:type="dxa"/>
                </w:tcPr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丢失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损坏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不适用</w:t>
                  </w:r>
                </w:p>
              </w:tc>
              <w:tc>
                <w:tcPr>
                  <w:tcW w:w="2344" w:type="dxa"/>
                </w:tcPr>
                <w:p/>
              </w:tc>
              <w:tc>
                <w:tcPr>
                  <w:tcW w:w="1400" w:type="dxa"/>
                </w:tcPr>
                <w:p/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62" w:type="dxa"/>
                </w:tcPr>
                <w:p/>
              </w:tc>
              <w:tc>
                <w:tcPr>
                  <w:tcW w:w="1975" w:type="dxa"/>
                </w:tcPr>
                <w:p/>
              </w:tc>
              <w:tc>
                <w:tcPr>
                  <w:tcW w:w="2262" w:type="dxa"/>
                </w:tcPr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丢失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损坏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不适用</w:t>
                  </w:r>
                </w:p>
              </w:tc>
              <w:tc>
                <w:tcPr>
                  <w:tcW w:w="2344" w:type="dxa"/>
                </w:tcPr>
                <w:p/>
              </w:tc>
              <w:tc>
                <w:tcPr>
                  <w:tcW w:w="1400" w:type="dxa"/>
                </w:tcPr>
                <w:p/>
              </w:tc>
            </w:tr>
          </w:tbl>
          <w:p/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现场观察</w:t>
            </w:r>
          </w:p>
        </w:tc>
        <w:tc>
          <w:tcPr>
            <w:tcW w:w="10423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在生产或服务场所对</w:t>
            </w:r>
            <w:r>
              <w:rPr>
                <w:rFonts w:hint="eastAsia"/>
              </w:rPr>
              <w:t>顾客或外部供方财产的</w:t>
            </w:r>
            <w:r>
              <w:rPr>
                <w:rFonts w:hint="eastAsia"/>
                <w:lang w:val="en-US" w:eastAsia="zh-CN"/>
              </w:rPr>
              <w:t>标识和防护情况：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区分清楚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防护得当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在原材料库房对</w:t>
            </w:r>
            <w:r>
              <w:rPr>
                <w:rFonts w:hint="eastAsia"/>
              </w:rPr>
              <w:t>顾客或外部供方财产的</w:t>
            </w:r>
            <w:r>
              <w:rPr>
                <w:rFonts w:hint="eastAsia"/>
                <w:lang w:val="en-US" w:eastAsia="zh-CN"/>
              </w:rPr>
              <w:t>标识和防护情况：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区分清楚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防护得当</w:t>
            </w:r>
          </w:p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566" w:type="dxa"/>
            <w:vMerge w:val="restart"/>
          </w:tcPr>
          <w:p>
            <w:r>
              <w:rPr>
                <w:rFonts w:hint="eastAsia"/>
              </w:rPr>
              <w:t>防护</w:t>
            </w:r>
          </w:p>
        </w:tc>
        <w:tc>
          <w:tcPr>
            <w:tcW w:w="81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>8.5.4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423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如：《生产和服务提供的控制程序》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</w:t>
            </w:r>
          </w:p>
        </w:tc>
        <w:tc>
          <w:tcPr>
            <w:tcW w:w="1149" w:type="dxa"/>
            <w:vMerge w:val="restart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  <w:p>
            <w:pPr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423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产品防护性要求：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防磕碰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防火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易碎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防倒置 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防雨淋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防日晒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码放高度  </w:t>
            </w:r>
          </w:p>
          <w:p>
            <w:pPr>
              <w:ind w:firstLine="1680" w:firstLineChars="8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温度  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湿度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清洁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卫生   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保存期限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其他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防护</w:t>
            </w:r>
            <w:r>
              <w:rPr>
                <w:rFonts w:hint="eastAsia"/>
                <w:lang w:val="en-US" w:eastAsia="zh-CN"/>
              </w:rPr>
              <w:t>方法</w:t>
            </w:r>
            <w:r>
              <w:rPr>
                <w:rFonts w:hint="eastAsia"/>
              </w:rPr>
              <w:t>可包括</w:t>
            </w:r>
            <w:r>
              <w:rPr>
                <w:rFonts w:hint="eastAsia"/>
                <w:lang w:eastAsia="zh-CN"/>
              </w:rPr>
              <w:t>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防护性标识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处置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污染控制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包装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储存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传输或运输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保护</w:t>
            </w:r>
          </w:p>
          <w:p/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现场观察</w:t>
            </w:r>
          </w:p>
        </w:tc>
        <w:tc>
          <w:tcPr>
            <w:tcW w:w="10423" w:type="dxa"/>
          </w:tcPr>
          <w:p>
            <w:pPr>
              <w:rPr>
                <w:rFonts w:hint="default"/>
                <w:u w:val="singl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原材料</w:t>
            </w:r>
            <w:r>
              <w:rPr>
                <w:rFonts w:hint="eastAsia"/>
              </w:rPr>
              <w:t>库房管理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>抽查原材料名称：</w:t>
            </w:r>
            <w:r>
              <w:rPr>
                <w:rFonts w:hint="eastAsia"/>
                <w:u w:val="single"/>
                <w:lang w:val="en-US" w:eastAsia="zh-CN"/>
              </w:rPr>
              <w:t xml:space="preserve">                   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</w:rPr>
              <w:t>分类存放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</w:rPr>
              <w:t>码放高度/层数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储存温度</w:t>
            </w:r>
            <w:r>
              <w:rPr>
                <w:rFonts w:hint="eastAsia"/>
                <w:u w:val="single"/>
                <w:lang w:val="en-US" w:eastAsia="zh-CN"/>
              </w:rPr>
              <w:t xml:space="preserve">  ℃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湿度</w:t>
            </w:r>
            <w:r>
              <w:rPr>
                <w:rFonts w:hint="eastAsia"/>
                <w:u w:val="single"/>
                <w:lang w:val="en-US" w:eastAsia="zh-CN"/>
              </w:rPr>
              <w:t xml:space="preserve">   %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储存时间</w:t>
            </w:r>
            <w:r>
              <w:rPr>
                <w:rFonts w:hint="eastAsia"/>
                <w:u w:val="single"/>
                <w:lang w:val="en-US" w:eastAsia="zh-CN"/>
              </w:rPr>
              <w:t xml:space="preserve">   月（有保存期时）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账物卡相符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防护措施  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u w:val="singl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半成品</w:t>
            </w:r>
            <w:r>
              <w:rPr>
                <w:rFonts w:hint="eastAsia"/>
              </w:rPr>
              <w:t>库房管理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>抽查半成品名称：</w:t>
            </w:r>
            <w:r>
              <w:rPr>
                <w:rFonts w:hint="eastAsia"/>
                <w:u w:val="single"/>
                <w:lang w:val="en-US" w:eastAsia="zh-CN"/>
              </w:rPr>
              <w:t xml:space="preserve">                         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分类存放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码放高度/层数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储存温度</w:t>
            </w:r>
            <w:r>
              <w:rPr>
                <w:rFonts w:hint="eastAsia"/>
                <w:u w:val="single"/>
                <w:lang w:val="en-US" w:eastAsia="zh-CN"/>
              </w:rPr>
              <w:t xml:space="preserve">  ℃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湿度</w:t>
            </w:r>
            <w:r>
              <w:rPr>
                <w:rFonts w:hint="eastAsia"/>
                <w:u w:val="single"/>
                <w:lang w:val="en-US" w:eastAsia="zh-CN"/>
              </w:rPr>
              <w:t xml:space="preserve">   %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储存时间</w:t>
            </w:r>
            <w:r>
              <w:rPr>
                <w:rFonts w:hint="eastAsia"/>
                <w:u w:val="single"/>
                <w:lang w:val="en-US" w:eastAsia="zh-CN"/>
              </w:rPr>
              <w:t xml:space="preserve">   月（有保存期时）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账物卡相符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防护措施 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u w:val="singl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成品</w:t>
            </w:r>
            <w:r>
              <w:rPr>
                <w:rFonts w:hint="eastAsia"/>
              </w:rPr>
              <w:t>库房管理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>抽查成品名称：</w:t>
            </w:r>
            <w:r>
              <w:rPr>
                <w:rFonts w:hint="eastAsia"/>
                <w:u w:val="single"/>
                <w:lang w:val="en-US" w:eastAsia="zh-CN"/>
              </w:rPr>
              <w:t xml:space="preserve">  无          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分类存放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码放高度/层数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储存温度</w:t>
            </w:r>
            <w:r>
              <w:rPr>
                <w:rFonts w:hint="eastAsia"/>
                <w:u w:val="single"/>
                <w:lang w:val="en-US" w:eastAsia="zh-CN"/>
              </w:rPr>
              <w:t xml:space="preserve">  ℃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湿度</w:t>
            </w:r>
            <w:r>
              <w:rPr>
                <w:rFonts w:hint="eastAsia"/>
                <w:u w:val="single"/>
                <w:lang w:val="en-US" w:eastAsia="zh-CN"/>
              </w:rPr>
              <w:t xml:space="preserve">   %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储存时间</w:t>
            </w:r>
            <w:r>
              <w:rPr>
                <w:rFonts w:hint="eastAsia"/>
                <w:u w:val="single"/>
                <w:lang w:val="en-US" w:eastAsia="zh-CN"/>
              </w:rPr>
              <w:t xml:space="preserve">   月（有保存期时）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账物卡相符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防护措施 </w:t>
            </w:r>
          </w:p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566" w:type="dxa"/>
            <w:vMerge w:val="restart"/>
          </w:tcPr>
          <w:p>
            <w:r>
              <w:rPr>
                <w:rFonts w:hint="eastAsia"/>
              </w:rPr>
              <w:t xml:space="preserve"> 交付后的活动</w:t>
            </w:r>
          </w:p>
        </w:tc>
        <w:tc>
          <w:tcPr>
            <w:tcW w:w="81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 xml:space="preserve">8.5.5 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423" w:type="dxa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如：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《顾客满意度测量与分析程序》</w:t>
            </w:r>
          </w:p>
        </w:tc>
        <w:tc>
          <w:tcPr>
            <w:tcW w:w="1149" w:type="dxa"/>
            <w:vMerge w:val="restart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  <w:p>
            <w:pPr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9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423" w:type="dxa"/>
            <w:vAlign w:val="top"/>
          </w:tcPr>
          <w:p>
            <w:r>
              <w:rPr>
                <w:rFonts w:hint="eastAsia"/>
              </w:rPr>
              <w:t>交付后服务的内容：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技术咨询/培训 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安装 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调试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维修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三包（包退、包换、包修）</w:t>
            </w:r>
          </w:p>
          <w:p>
            <w:pPr>
              <w:ind w:firstLine="1890" w:firstLineChars="900"/>
            </w:pP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回收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最终报废处置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无售后服务</w:t>
            </w:r>
          </w:p>
          <w:p/>
          <w:p>
            <w:pPr>
              <w:rPr>
                <w:color w:val="auto"/>
                <w:u w:val="single"/>
              </w:rPr>
            </w:pPr>
            <w:r>
              <w:rPr>
                <w:rFonts w:hint="eastAsia"/>
              </w:rPr>
              <w:t>抽</w:t>
            </w:r>
            <w:r>
              <w:rPr>
                <w:rFonts w:hint="eastAsia"/>
                <w:color w:val="auto"/>
              </w:rPr>
              <w:t>取交付后的活动控制相关记录名称：</w:t>
            </w:r>
            <w:r>
              <w:rPr>
                <w:rFonts w:hint="eastAsia"/>
                <w:color w:val="auto"/>
                <w:u w:val="single"/>
              </w:rPr>
              <w:t xml:space="preserve">《 </w:t>
            </w:r>
            <w:r>
              <w:rPr>
                <w:rFonts w:hint="eastAsia"/>
                <w:color w:val="auto"/>
                <w:u w:val="single"/>
                <w:lang w:val="en-US" w:eastAsia="zh-CN"/>
              </w:rPr>
              <w:t>设备检修试验记录</w:t>
            </w:r>
            <w:r>
              <w:rPr>
                <w:rFonts w:hint="eastAsia"/>
                <w:color w:val="auto"/>
                <w:u w:val="single"/>
              </w:rPr>
              <w:t xml:space="preserve"> 》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56"/>
              <w:gridCol w:w="1437"/>
              <w:gridCol w:w="1501"/>
              <w:gridCol w:w="1702"/>
              <w:gridCol w:w="1597"/>
              <w:gridCol w:w="175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6" w:type="dxa"/>
                </w:tcPr>
                <w:p>
                  <w:pPr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日期</w:t>
                  </w:r>
                </w:p>
              </w:tc>
              <w:tc>
                <w:tcPr>
                  <w:tcW w:w="1437" w:type="dxa"/>
                </w:tcPr>
                <w:p>
                  <w:pPr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客户名称</w:t>
                  </w:r>
                </w:p>
              </w:tc>
              <w:tc>
                <w:tcPr>
                  <w:tcW w:w="1501" w:type="dxa"/>
                </w:tcPr>
                <w:p>
                  <w:pPr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服务地点</w:t>
                  </w:r>
                </w:p>
              </w:tc>
              <w:tc>
                <w:tcPr>
                  <w:tcW w:w="1702" w:type="dxa"/>
                </w:tcPr>
                <w:p>
                  <w:pPr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 xml:space="preserve"> 售后服务内容</w:t>
                  </w:r>
                </w:p>
              </w:tc>
              <w:tc>
                <w:tcPr>
                  <w:tcW w:w="1597" w:type="dxa"/>
                </w:tcPr>
                <w:p>
                  <w:pPr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服务始末时间</w:t>
                  </w:r>
                </w:p>
              </w:tc>
              <w:tc>
                <w:tcPr>
                  <w:tcW w:w="1750" w:type="dxa"/>
                </w:tcPr>
                <w:p>
                  <w:pPr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顾客确认意见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1056" w:type="dxa"/>
                </w:tcPr>
                <w:p>
                  <w:pPr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2020.4.20</w:t>
                  </w:r>
                </w:p>
              </w:tc>
              <w:tc>
                <w:tcPr>
                  <w:tcW w:w="1437" w:type="dxa"/>
                </w:tcPr>
                <w:p>
                  <w:pPr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合肥华南城有限公司</w:t>
                  </w:r>
                </w:p>
              </w:tc>
              <w:tc>
                <w:tcPr>
                  <w:tcW w:w="1501" w:type="dxa"/>
                </w:tcPr>
                <w:p>
                  <w:pPr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合肥华南城有限公司</w:t>
                  </w:r>
                </w:p>
              </w:tc>
              <w:tc>
                <w:tcPr>
                  <w:tcW w:w="1702" w:type="dxa"/>
                </w:tcPr>
                <w:p>
                  <w:pPr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清除鸟窝加装驱鸟器</w:t>
                  </w:r>
                </w:p>
              </w:tc>
              <w:tc>
                <w:tcPr>
                  <w:tcW w:w="1597" w:type="dxa"/>
                </w:tcPr>
                <w:p>
                  <w:pPr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2020.4.20</w:t>
                  </w:r>
                </w:p>
              </w:tc>
              <w:tc>
                <w:tcPr>
                  <w:tcW w:w="1750" w:type="dxa"/>
                </w:tcPr>
                <w:p>
                  <w:pPr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满意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6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2020.6.22</w:t>
                  </w:r>
                </w:p>
              </w:tc>
              <w:tc>
                <w:tcPr>
                  <w:tcW w:w="1437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安徽三联学院</w:t>
                  </w:r>
                </w:p>
              </w:tc>
              <w:tc>
                <w:tcPr>
                  <w:tcW w:w="1501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合肥市金寨路，肥东撮镇</w:t>
                  </w:r>
                </w:p>
              </w:tc>
              <w:tc>
                <w:tcPr>
                  <w:tcW w:w="1702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更换直流屏模块及电池</w:t>
                  </w:r>
                </w:p>
              </w:tc>
              <w:tc>
                <w:tcPr>
                  <w:tcW w:w="1597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2020.7.1</w:t>
                  </w:r>
                </w:p>
              </w:tc>
              <w:tc>
                <w:tcPr>
                  <w:tcW w:w="1750" w:type="dxa"/>
                </w:tcPr>
                <w:p>
                  <w:r>
                    <w:rPr>
                      <w:rFonts w:hint="eastAsia"/>
                      <w:color w:val="auto"/>
                      <w:lang w:val="en-US" w:eastAsia="zh-CN"/>
                    </w:rPr>
                    <w:t>满意</w:t>
                  </w:r>
                </w:p>
              </w:tc>
            </w:tr>
          </w:tbl>
          <w:p>
            <w:pPr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566" w:type="dxa"/>
            <w:vMerge w:val="restart"/>
          </w:tcPr>
          <w:p>
            <w:r>
              <w:rPr>
                <w:rFonts w:hint="eastAsia"/>
              </w:rPr>
              <w:t>更改控制</w:t>
            </w:r>
          </w:p>
        </w:tc>
        <w:tc>
          <w:tcPr>
            <w:tcW w:w="81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>8.5.6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423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如：《产品/服务提供控制程序》或《变更控制程序》</w:t>
            </w:r>
          </w:p>
        </w:tc>
        <w:tc>
          <w:tcPr>
            <w:tcW w:w="1149" w:type="dxa"/>
            <w:vMerge w:val="restart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  <w:p>
            <w:pPr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9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423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变更的原因：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外部因素：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</w:rPr>
              <w:t>法律法规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</w:rPr>
              <w:t>顾客或供方发起的变更；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内部因素：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</w:rPr>
              <w:t>设备失效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</w:rPr>
              <w:t>反复出现不合格品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</w:rPr>
              <w:t>技术改造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u w:val="singl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抽取变更控制相关记录名称：</w:t>
            </w:r>
            <w:r>
              <w:rPr>
                <w:rFonts w:hint="eastAsia"/>
                <w:u w:val="single"/>
                <w:lang w:val="en-US" w:eastAsia="zh-CN"/>
              </w:rPr>
              <w:t>《         --             》    近一年无重大变更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67"/>
              <w:gridCol w:w="1726"/>
              <w:gridCol w:w="1661"/>
              <w:gridCol w:w="1671"/>
              <w:gridCol w:w="1172"/>
              <w:gridCol w:w="204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日期</w:t>
                  </w:r>
                </w:p>
              </w:tc>
              <w:tc>
                <w:tcPr>
                  <w:tcW w:w="1726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变更的原因</w:t>
                  </w:r>
                </w:p>
              </w:tc>
              <w:tc>
                <w:tcPr>
                  <w:tcW w:w="1661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评审的结论</w:t>
                  </w:r>
                </w:p>
              </w:tc>
              <w:tc>
                <w:tcPr>
                  <w:tcW w:w="1671" w:type="dxa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实施前的验证或确认</w:t>
                  </w:r>
                  <w:r>
                    <w:rPr>
                      <w:rFonts w:hint="eastAsia"/>
                      <w:lang w:val="en-US" w:eastAsia="zh-CN"/>
                    </w:rPr>
                    <w:t>的结果</w:t>
                  </w:r>
                </w:p>
              </w:tc>
              <w:tc>
                <w:tcPr>
                  <w:tcW w:w="1172" w:type="dxa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批准</w:t>
                  </w:r>
                  <w:r>
                    <w:rPr>
                      <w:rFonts w:hint="eastAsia"/>
                      <w:lang w:val="en-US" w:eastAsia="zh-CN"/>
                    </w:rPr>
                    <w:t>或</w:t>
                  </w:r>
                </w:p>
                <w:p>
                  <w:pPr>
                    <w:rPr>
                      <w:rFonts w:hint="default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顾客授权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eastAsia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更新QMS要素的</w:t>
                  </w:r>
                  <w:r>
                    <w:rPr>
                      <w:rFonts w:hint="eastAsia"/>
                      <w:lang w:val="en-US" w:eastAsia="zh-CN"/>
                    </w:rPr>
                    <w:t>证据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726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--</w:t>
                  </w:r>
                </w:p>
              </w:tc>
              <w:tc>
                <w:tcPr>
                  <w:tcW w:w="1661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671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172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726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--</w:t>
                  </w:r>
                </w:p>
              </w:tc>
              <w:tc>
                <w:tcPr>
                  <w:tcW w:w="1661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671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172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上述变更评审、验证和确认的人员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 xml:space="preserve">与公司授权一致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与公司授权存在不一致</w:t>
            </w:r>
          </w:p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2" w:hRule="atLeast"/>
        </w:trPr>
        <w:tc>
          <w:tcPr>
            <w:tcW w:w="1566" w:type="dxa"/>
            <w:vMerge w:val="restart"/>
            <w:vAlign w:val="top"/>
          </w:tcPr>
          <w:p>
            <w:r>
              <w:rPr>
                <w:rFonts w:hint="eastAsia"/>
              </w:rPr>
              <w:t>产品和服务放行</w:t>
            </w:r>
          </w:p>
        </w:tc>
        <w:tc>
          <w:tcPr>
            <w:tcW w:w="810" w:type="dxa"/>
            <w:vMerge w:val="restart"/>
            <w:vAlign w:val="top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>8.</w:t>
            </w: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423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  <w:lang w:eastAsia="zh-CN"/>
              </w:rPr>
              <w:t>《</w:t>
            </w:r>
            <w:r>
              <w:rPr>
                <w:rFonts w:hint="eastAsia"/>
                <w:lang w:val="en-US" w:eastAsia="zh-CN"/>
              </w:rPr>
              <w:t>过程和产品的监视和测量控制程序</w:t>
            </w:r>
            <w:r>
              <w:rPr>
                <w:rFonts w:hint="eastAsia"/>
                <w:lang w:eastAsia="zh-CN"/>
              </w:rPr>
              <w:t>》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执行标准（接收准则）：</w:t>
            </w:r>
          </w:p>
        </w:tc>
        <w:tc>
          <w:tcPr>
            <w:tcW w:w="1149" w:type="dxa"/>
            <w:vMerge w:val="restart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9" w:hRule="atLeast"/>
        </w:trPr>
        <w:tc>
          <w:tcPr>
            <w:tcW w:w="1566" w:type="dxa"/>
            <w:vMerge w:val="continue"/>
            <w:vAlign w:val="top"/>
          </w:tcPr>
          <w:p/>
        </w:tc>
        <w:tc>
          <w:tcPr>
            <w:tcW w:w="810" w:type="dxa"/>
            <w:vMerge w:val="continue"/>
            <w:vAlign w:val="top"/>
          </w:tcPr>
          <w:p/>
        </w:tc>
        <w:tc>
          <w:tcPr>
            <w:tcW w:w="761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423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放行包括：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  <w:vertAlign w:val="baseline"/>
                <w:lang w:val="en-US" w:eastAsia="zh-CN"/>
              </w:rPr>
              <w:t xml:space="preserve">原材料进厂 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A3"/>
            </w:r>
            <w:r>
              <w:rPr>
                <w:rFonts w:hint="eastAsia"/>
                <w:vertAlign w:val="baseline"/>
                <w:lang w:val="en-US" w:eastAsia="zh-CN"/>
              </w:rPr>
              <w:t xml:space="preserve">半成品转序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  <w:vertAlign w:val="baseline"/>
                <w:lang w:val="en-US" w:eastAsia="zh-CN"/>
              </w:rPr>
              <w:t xml:space="preserve">成品放行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A3"/>
            </w:r>
            <w:r>
              <w:rPr>
                <w:rFonts w:hint="eastAsia"/>
                <w:vertAlign w:val="baseline"/>
                <w:lang w:val="en-US" w:eastAsia="zh-CN"/>
              </w:rPr>
              <w:t>服务放行</w:t>
            </w:r>
          </w:p>
          <w:p>
            <w:pPr>
              <w:rPr>
                <w:rFonts w:hint="eastAsia"/>
                <w:color w:val="000000" w:themeColor="text1"/>
                <w:u w:val="singl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抽取原</w:t>
            </w:r>
            <w:r>
              <w:rPr>
                <w:rFonts w:hint="eastAsia"/>
                <w:color w:val="000000" w:themeColor="text1"/>
                <w:lang w:val="en-US" w:eastAsia="zh-CN"/>
              </w:rPr>
              <w:t>材料检验相关记录名称：</w:t>
            </w:r>
            <w:r>
              <w:rPr>
                <w:rFonts w:hint="eastAsia"/>
                <w:color w:val="000000" w:themeColor="text1"/>
                <w:u w:val="single"/>
                <w:lang w:val="en-US" w:eastAsia="zh-CN"/>
              </w:rPr>
              <w:t>《 交接性实验报告  》</w:t>
            </w:r>
          </w:p>
          <w:p>
            <w:pPr>
              <w:rPr>
                <w:rFonts w:hint="eastAsia"/>
                <w:color w:val="000000" w:themeColor="text1"/>
                <w:u w:val="single"/>
                <w:lang w:val="en-US" w:eastAsia="zh-CN"/>
              </w:rPr>
            </w:pPr>
          </w:p>
          <w:p>
            <w:pPr>
              <w:rPr>
                <w:rFonts w:hint="eastAsia"/>
                <w:color w:val="000000" w:themeColor="text1"/>
                <w:u w:val="single"/>
                <w:lang w:val="en-US" w:eastAsia="zh-CN"/>
              </w:rPr>
            </w:pPr>
            <w:r>
              <w:rPr>
                <w:rFonts w:hint="eastAsia"/>
                <w:color w:val="000000" w:themeColor="text1"/>
                <w:u w:val="single"/>
                <w:lang w:val="en-US" w:eastAsia="zh-CN"/>
              </w:rPr>
              <w:drawing>
                <wp:inline distT="0" distB="0" distL="114300" distR="114300">
                  <wp:extent cx="3113405" cy="4487545"/>
                  <wp:effectExtent l="0" t="0" r="10795" b="8255"/>
                  <wp:docPr id="11" name="图片 11" descr="0371b879fbfa80abe043ff47904d7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0371b879fbfa80abe043ff47904d7d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7319" b="11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405" cy="448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  <w:u w:val="singl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3124200</wp:posOffset>
                  </wp:positionH>
                  <wp:positionV relativeFrom="paragraph">
                    <wp:posOffset>-4445</wp:posOffset>
                  </wp:positionV>
                  <wp:extent cx="3113405" cy="4653915"/>
                  <wp:effectExtent l="0" t="0" r="10795" b="6985"/>
                  <wp:wrapNone/>
                  <wp:docPr id="12" name="图片 12" descr="0da5d4726d68a590e5f79ecbc2375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0da5d4726d68a590e5f79ecbc2375e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9040" b="6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405" cy="465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  <w:color w:val="000000" w:themeColor="text1"/>
                <w:u w:val="single"/>
                <w:lang w:val="en-US" w:eastAsia="zh-CN"/>
              </w:rPr>
            </w:pPr>
          </w:p>
          <w:p>
            <w:pPr>
              <w:rPr>
                <w:rFonts w:hint="eastAsia"/>
                <w:color w:val="000000" w:themeColor="text1"/>
                <w:u w:val="single"/>
                <w:lang w:val="en-US" w:eastAsia="zh-CN"/>
              </w:rPr>
            </w:pPr>
          </w:p>
          <w:p>
            <w:pPr>
              <w:rPr>
                <w:rFonts w:hint="eastAsia"/>
                <w:color w:val="000000" w:themeColor="text1"/>
                <w:u w:val="single"/>
                <w:lang w:val="en-US" w:eastAsia="zh-CN"/>
              </w:rPr>
            </w:pPr>
            <w:r>
              <w:rPr>
                <w:rFonts w:hint="eastAsia"/>
                <w:color w:val="000000" w:themeColor="text1"/>
                <w:u w:val="single"/>
                <w:lang w:val="en-US" w:eastAsia="zh-CN"/>
              </w:rPr>
              <w:drawing>
                <wp:inline distT="0" distB="0" distL="114300" distR="114300">
                  <wp:extent cx="3113405" cy="5535295"/>
                  <wp:effectExtent l="0" t="0" r="10795" b="1905"/>
                  <wp:docPr id="13" name="图片 13" descr="53fb9d3c6957e29b1da362a79bc6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3fb9d3c6957e29b1da362a79bc67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405" cy="553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  <w:u w:val="single"/>
                <w:lang w:val="en-US" w:eastAsia="zh-CN"/>
              </w:rPr>
              <w:drawing>
                <wp:inline distT="0" distB="0" distL="114300" distR="114300">
                  <wp:extent cx="3113405" cy="5535295"/>
                  <wp:effectExtent l="0" t="0" r="10795" b="1905"/>
                  <wp:docPr id="14" name="图片 14" descr="85f475f0b523a94f03a41a1969923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85f475f0b523a94f03a41a1969923a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405" cy="553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color w:val="000000" w:themeColor="text1"/>
                <w:u w:val="single"/>
                <w:lang w:val="en-US" w:eastAsia="zh-CN"/>
              </w:rPr>
            </w:pPr>
            <w:r>
              <w:rPr>
                <w:rFonts w:hint="eastAsia"/>
                <w:color w:val="000000" w:themeColor="text1"/>
                <w:u w:val="single"/>
                <w:lang w:val="en-US" w:eastAsia="zh-CN"/>
              </w:rPr>
              <w:drawing>
                <wp:inline distT="0" distB="0" distL="114300" distR="114300">
                  <wp:extent cx="3113405" cy="5535295"/>
                  <wp:effectExtent l="0" t="0" r="10795" b="1905"/>
                  <wp:docPr id="15" name="图片 15" descr="2e2f3f737a05e8dc32f1791f85676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e2f3f737a05e8dc32f1791f85676c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405" cy="553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  <w:u w:val="single"/>
                <w:lang w:val="en-US" w:eastAsia="zh-CN"/>
              </w:rPr>
              <w:drawing>
                <wp:inline distT="0" distB="0" distL="114300" distR="114300">
                  <wp:extent cx="3113405" cy="5535295"/>
                  <wp:effectExtent l="0" t="0" r="10795" b="1905"/>
                  <wp:docPr id="16" name="图片 16" descr="2151136427713281c906c51b5c76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151136427713281c906c51b5c765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405" cy="553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color w:val="000000" w:themeColor="text1"/>
                <w:u w:val="single"/>
                <w:lang w:val="en-US" w:eastAsia="zh-CN"/>
              </w:rPr>
            </w:pPr>
            <w:r>
              <w:rPr>
                <w:rFonts w:hint="eastAsia"/>
                <w:color w:val="000000" w:themeColor="text1"/>
                <w:u w:val="single"/>
                <w:lang w:val="en-US" w:eastAsia="zh-CN"/>
              </w:rPr>
              <w:drawing>
                <wp:inline distT="0" distB="0" distL="114300" distR="114300">
                  <wp:extent cx="3113405" cy="4868545"/>
                  <wp:effectExtent l="0" t="0" r="10795" b="8255"/>
                  <wp:docPr id="17" name="图片 17" descr="ceda34f6eb6834a71e6ce862cec8f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eda34f6eb6834a71e6ce862cec8f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b="120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405" cy="486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  <w:u w:val="single"/>
                <w:lang w:val="en-US" w:eastAsia="zh-CN"/>
              </w:rPr>
              <w:drawing>
                <wp:inline distT="0" distB="0" distL="114300" distR="114300">
                  <wp:extent cx="3113405" cy="4789170"/>
                  <wp:effectExtent l="0" t="0" r="10795" b="11430"/>
                  <wp:docPr id="18" name="图片 18" descr="a1190faf69c48aaf648fbd7bc446b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a1190faf69c48aaf648fbd7bc446bb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b="13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405" cy="478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color w:val="000000" w:themeColor="text1"/>
                <w:u w:val="single"/>
                <w:lang w:val="en-US" w:eastAsia="zh-CN"/>
              </w:rPr>
            </w:pPr>
          </w:p>
          <w:p>
            <w:pPr>
              <w:rPr>
                <w:rFonts w:hint="eastAsia"/>
                <w:color w:val="000000" w:themeColor="text1"/>
                <w:u w:val="single"/>
                <w:lang w:val="en-US" w:eastAsia="zh-CN"/>
              </w:rPr>
            </w:pPr>
          </w:p>
          <w:p>
            <w:pPr>
              <w:rPr>
                <w:rFonts w:hint="eastAsia"/>
                <w:color w:val="000000" w:themeColor="text1"/>
                <w:u w:val="single"/>
                <w:lang w:val="en-US" w:eastAsia="zh-CN"/>
              </w:rPr>
            </w:pPr>
            <w:r>
              <w:rPr>
                <w:rFonts w:hint="eastAsia"/>
                <w:color w:val="000000" w:themeColor="text1"/>
                <w:u w:val="single"/>
                <w:lang w:val="en-US" w:eastAsia="zh-CN"/>
              </w:rPr>
              <w:drawing>
                <wp:inline distT="0" distB="0" distL="114300" distR="114300">
                  <wp:extent cx="3113405" cy="5535295"/>
                  <wp:effectExtent l="0" t="0" r="10795" b="1905"/>
                  <wp:docPr id="19" name="图片 19" descr="722492cdd19f5019b3bf7a4b0cef0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722492cdd19f5019b3bf7a4b0cef05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405" cy="553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u w:val="singl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抽取半成品</w:t>
            </w:r>
            <w:r>
              <w:rPr>
                <w:rFonts w:hint="eastAsia"/>
                <w:b/>
                <w:bCs/>
                <w:lang w:val="en-US" w:eastAsia="zh-CN"/>
              </w:rPr>
              <w:t>检验</w:t>
            </w:r>
            <w:r>
              <w:rPr>
                <w:rFonts w:hint="eastAsia"/>
                <w:lang w:val="en-US" w:eastAsia="zh-CN"/>
              </w:rPr>
              <w:t>相关记录名称：</w:t>
            </w:r>
            <w:r>
              <w:rPr>
                <w:rFonts w:hint="eastAsia"/>
                <w:u w:val="single"/>
                <w:lang w:val="en-US" w:eastAsia="zh-CN"/>
              </w:rPr>
              <w:t>详见Q8.5.1过程监控记录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抽取成品</w:t>
            </w:r>
            <w:r>
              <w:rPr>
                <w:rFonts w:hint="eastAsia"/>
                <w:b/>
                <w:bCs/>
                <w:lang w:val="en-US" w:eastAsia="zh-CN"/>
              </w:rPr>
              <w:t>检验</w:t>
            </w:r>
            <w:r>
              <w:rPr>
                <w:rFonts w:hint="eastAsia"/>
                <w:lang w:val="en-US" w:eastAsia="zh-CN"/>
              </w:rPr>
              <w:t>相关记录名称：《竣工报告》</w:t>
            </w: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上述成品/服务放行的人员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  <w:lang w:val="en-US" w:eastAsia="zh-CN"/>
              </w:rPr>
              <w:t xml:space="preserve">与公司授权一致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与公司授权存在不一致</w:t>
            </w:r>
          </w:p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9" w:hRule="atLeast"/>
        </w:trPr>
        <w:tc>
          <w:tcPr>
            <w:tcW w:w="1566" w:type="dxa"/>
            <w:vMerge w:val="continue"/>
            <w:vAlign w:val="top"/>
          </w:tcPr>
          <w:p/>
        </w:tc>
        <w:tc>
          <w:tcPr>
            <w:tcW w:w="810" w:type="dxa"/>
            <w:vMerge w:val="continue"/>
            <w:vAlign w:val="top"/>
          </w:tcPr>
          <w:p/>
        </w:tc>
        <w:tc>
          <w:tcPr>
            <w:tcW w:w="761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现场观察</w:t>
            </w:r>
          </w:p>
        </w:tc>
        <w:tc>
          <w:tcPr>
            <w:tcW w:w="10423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成品/服务放行的人员对相关知识的理解和能力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  <w:lang w:val="en-US" w:eastAsia="zh-CN"/>
              </w:rPr>
              <w:t xml:space="preserve">符合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不符合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由于成品/服务放行的监视设备满足要求且完好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A3"/>
            </w:r>
            <w:r>
              <w:rPr>
                <w:rFonts w:hint="eastAsia"/>
                <w:lang w:val="en-US" w:eastAsia="zh-CN"/>
              </w:rPr>
              <w:t xml:space="preserve">符合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不符合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由于成品/服务放行的测量设备满足要求且完好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A3"/>
            </w:r>
            <w:r>
              <w:rPr>
                <w:rFonts w:hint="eastAsia"/>
                <w:lang w:val="en-US" w:eastAsia="zh-CN"/>
              </w:rPr>
              <w:t xml:space="preserve">符合 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  <w:lang w:val="en-US" w:eastAsia="zh-CN"/>
              </w:rPr>
              <w:t>不符合</w:t>
            </w:r>
          </w:p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566" w:type="dxa"/>
            <w:vMerge w:val="restart"/>
          </w:tcPr>
          <w:p>
            <w:r>
              <w:rPr>
                <w:rFonts w:hint="eastAsia"/>
              </w:rPr>
              <w:t>不合格输出的控制</w:t>
            </w:r>
          </w:p>
        </w:tc>
        <w:tc>
          <w:tcPr>
            <w:tcW w:w="81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 xml:space="preserve">8.7 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423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如：《不合格控制程序》</w:t>
            </w:r>
          </w:p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149" w:type="dxa"/>
            <w:vMerge w:val="restart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2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423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抽取不合格原材料处置相关记录名称：</w:t>
            </w:r>
            <w:r>
              <w:rPr>
                <w:rFonts w:hint="eastAsia"/>
                <w:u w:val="single"/>
                <w:lang w:val="en-US" w:eastAsia="zh-CN"/>
              </w:rPr>
              <w:t>《  不符合报告单  》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67"/>
              <w:gridCol w:w="1620"/>
              <w:gridCol w:w="2165"/>
              <w:gridCol w:w="2445"/>
              <w:gridCol w:w="204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日期</w:t>
                  </w:r>
                </w:p>
              </w:tc>
              <w:tc>
                <w:tcPr>
                  <w:tcW w:w="1620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物料名称/批次</w:t>
                  </w:r>
                </w:p>
              </w:tc>
              <w:tc>
                <w:tcPr>
                  <w:tcW w:w="2165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不合格信息描述</w:t>
                  </w:r>
                </w:p>
              </w:tc>
              <w:tc>
                <w:tcPr>
                  <w:tcW w:w="2445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处理方式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纠正之后应验证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default"/>
                      <w:vertAlign w:val="baseline"/>
                      <w:lang w:val="en-US" w:eastAsia="zh-CN"/>
                    </w:rPr>
                    <w:t>2020.05.13</w:t>
                  </w:r>
                </w:p>
              </w:tc>
              <w:tc>
                <w:tcPr>
                  <w:tcW w:w="1620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pacing w:val="8"/>
                      <w:sz w:val="24"/>
                    </w:rPr>
                    <w:t>热缩套管</w:t>
                  </w:r>
                </w:p>
              </w:tc>
              <w:tc>
                <w:tcPr>
                  <w:tcW w:w="2165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pacing w:val="8"/>
                      <w:sz w:val="24"/>
                    </w:rPr>
                    <w:t>外观磨损</w:t>
                  </w:r>
                </w:p>
              </w:tc>
              <w:tc>
                <w:tcPr>
                  <w:tcW w:w="2445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退货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sym w:font="Wingdings 2" w:char="0052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换货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降等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让步接收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62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2165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2445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退货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换货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降等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让步接收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抽取不合格半成品处置相关记录名称：</w:t>
            </w:r>
            <w:r>
              <w:rPr>
                <w:rFonts w:hint="eastAsia"/>
                <w:u w:val="single"/>
                <w:lang w:val="en-US" w:eastAsia="zh-CN"/>
              </w:rPr>
              <w:t>《                      》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67"/>
              <w:gridCol w:w="1560"/>
              <w:gridCol w:w="2225"/>
              <w:gridCol w:w="2445"/>
              <w:gridCol w:w="204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日期</w:t>
                  </w:r>
                </w:p>
              </w:tc>
              <w:tc>
                <w:tcPr>
                  <w:tcW w:w="1560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名称/批次</w:t>
                  </w:r>
                </w:p>
              </w:tc>
              <w:tc>
                <w:tcPr>
                  <w:tcW w:w="2225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不合格信息描述</w:t>
                  </w:r>
                </w:p>
              </w:tc>
              <w:tc>
                <w:tcPr>
                  <w:tcW w:w="2445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处理方式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纠正之后应验证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560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--</w:t>
                  </w:r>
                </w:p>
              </w:tc>
              <w:tc>
                <w:tcPr>
                  <w:tcW w:w="2225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445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返工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返修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降等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报废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让步接收 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560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225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445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返工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返修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降等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报废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让步接收 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抽取不合格成品处置相关记录名称：   详见</w:t>
            </w:r>
            <w:r>
              <w:rPr>
                <w:rFonts w:hint="eastAsia"/>
              </w:rPr>
              <w:t xml:space="preserve">Q8.5.5 </w:t>
            </w:r>
            <w:r>
              <w:rPr>
                <w:rFonts w:hint="eastAsia"/>
                <w:lang w:val="en-US" w:eastAsia="zh-CN"/>
              </w:rPr>
              <w:t>《</w:t>
            </w:r>
            <w:r>
              <w:rPr>
                <w:rFonts w:hint="eastAsia"/>
                <w:color w:val="auto"/>
                <w:u w:val="single"/>
                <w:lang w:val="en-US" w:eastAsia="zh-CN"/>
              </w:rPr>
              <w:t>设备检修试验记录</w:t>
            </w:r>
            <w:r>
              <w:rPr>
                <w:rFonts w:hint="eastAsia"/>
                <w:color w:val="auto"/>
                <w:u w:val="single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>》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67"/>
              <w:gridCol w:w="1580"/>
              <w:gridCol w:w="2205"/>
              <w:gridCol w:w="2445"/>
              <w:gridCol w:w="204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日期</w:t>
                  </w:r>
                </w:p>
              </w:tc>
              <w:tc>
                <w:tcPr>
                  <w:tcW w:w="1580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名称/批次</w:t>
                  </w:r>
                </w:p>
              </w:tc>
              <w:tc>
                <w:tcPr>
                  <w:tcW w:w="2205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不合格信息描述</w:t>
                  </w:r>
                </w:p>
              </w:tc>
              <w:tc>
                <w:tcPr>
                  <w:tcW w:w="2445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处理方式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纠正之后应验证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580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--</w:t>
                  </w:r>
                </w:p>
              </w:tc>
              <w:tc>
                <w:tcPr>
                  <w:tcW w:w="2205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445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返工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返修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降等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报废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让步接收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58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2205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2445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返工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返修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降等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报废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让步接收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</w:tbl>
          <w:p/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上述不合格处置的人员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 xml:space="preserve">与公司授权一致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与公司授权存在不一致</w:t>
            </w:r>
          </w:p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现场观察</w:t>
            </w:r>
          </w:p>
        </w:tc>
        <w:tc>
          <w:tcPr>
            <w:tcW w:w="10423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现场检查对不合格原材料的存放和标识情况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  <w:lang w:val="en-US" w:eastAsia="zh-CN"/>
              </w:rPr>
              <w:t xml:space="preserve">符合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不符合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现场检查对不合格半成品的存放和标识情况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  <w:lang w:val="en-US" w:eastAsia="zh-CN"/>
              </w:rPr>
              <w:t xml:space="preserve">符合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不符合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 xml:space="preserve">现场检查对不合格成品的存放和标识情况  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  <w:lang w:val="en-US" w:eastAsia="zh-CN"/>
              </w:rPr>
              <w:t xml:space="preserve">符合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不符合</w:t>
            </w:r>
          </w:p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566" w:type="dxa"/>
            <w:vMerge w:val="restart"/>
            <w:vAlign w:val="top"/>
          </w:tcPr>
          <w:p>
            <w:r>
              <w:rPr>
                <w:rFonts w:hint="eastAsia"/>
                <w:lang w:val="en-US" w:eastAsia="zh-CN"/>
              </w:rPr>
              <w:t>分析与评价</w:t>
            </w:r>
          </w:p>
        </w:tc>
        <w:tc>
          <w:tcPr>
            <w:tcW w:w="810" w:type="dxa"/>
            <w:vMerge w:val="restart"/>
            <w:vAlign w:val="top"/>
          </w:tcPr>
          <w:p>
            <w:r>
              <w:rPr>
                <w:rFonts w:hint="eastAsia"/>
                <w:lang w:val="en-US" w:eastAsia="zh-CN"/>
              </w:rPr>
              <w:t>Q9.1.3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423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管理手册10.3章</w:t>
            </w:r>
          </w:p>
        </w:tc>
        <w:tc>
          <w:tcPr>
            <w:tcW w:w="1149" w:type="dxa"/>
            <w:vMerge w:val="restart"/>
            <w:vAlign w:val="top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566" w:type="dxa"/>
            <w:vMerge w:val="continue"/>
            <w:vAlign w:val="top"/>
          </w:tcPr>
          <w:p/>
        </w:tc>
        <w:tc>
          <w:tcPr>
            <w:tcW w:w="810" w:type="dxa"/>
            <w:vMerge w:val="continue"/>
            <w:vAlign w:val="top"/>
          </w:tcPr>
          <w:p/>
        </w:tc>
        <w:tc>
          <w:tcPr>
            <w:tcW w:w="761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423" w:type="dxa"/>
            <w:vAlign w:val="top"/>
          </w:tcPr>
          <w:p>
            <w:pPr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对获得的数据和信息进行监视和测量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25"/>
              <w:gridCol w:w="2651"/>
              <w:gridCol w:w="1811"/>
              <w:gridCol w:w="1342"/>
              <w:gridCol w:w="131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25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分析和评价的对象</w:t>
                  </w:r>
                </w:p>
              </w:tc>
              <w:tc>
                <w:tcPr>
                  <w:tcW w:w="2651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分析和评价的方法</w:t>
                  </w:r>
                </w:p>
              </w:tc>
              <w:tc>
                <w:tcPr>
                  <w:tcW w:w="1811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分析和评价的频次和时机</w:t>
                  </w:r>
                </w:p>
              </w:tc>
              <w:tc>
                <w:tcPr>
                  <w:tcW w:w="1342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使用的统计技术</w:t>
                  </w:r>
                </w:p>
              </w:tc>
              <w:tc>
                <w:tcPr>
                  <w:tcW w:w="1314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分析的结果用于改进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25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产品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和服务的符合性</w:t>
                  </w:r>
                </w:p>
              </w:tc>
              <w:tc>
                <w:tcPr>
                  <w:tcW w:w="2651" w:type="dxa"/>
                  <w:shd w:val="clear" w:color="auto" w:fill="auto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对产品合格率进行统计分析，</w:t>
                  </w:r>
                </w:p>
              </w:tc>
              <w:tc>
                <w:tcPr>
                  <w:tcW w:w="1811" w:type="dxa"/>
                  <w:shd w:val="clear" w:color="auto" w:fill="auto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每月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 xml:space="preserve">每季度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□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>每年</w:t>
                  </w:r>
                </w:p>
              </w:tc>
              <w:tc>
                <w:tcPr>
                  <w:tcW w:w="1342" w:type="dxa"/>
                  <w:shd w:val="clear" w:color="auto" w:fill="auto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柱状图</w:t>
                  </w:r>
                </w:p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饼状图</w:t>
                  </w:r>
                </w:p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鱼刺图</w:t>
                  </w:r>
                </w:p>
              </w:tc>
              <w:tc>
                <w:tcPr>
                  <w:tcW w:w="1314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已用于</w:t>
                  </w:r>
                </w:p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未用于</w:t>
                  </w:r>
                </w:p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25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顾客满意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程度</w:t>
                  </w:r>
                </w:p>
              </w:tc>
              <w:tc>
                <w:tcPr>
                  <w:tcW w:w="2651" w:type="dxa"/>
                  <w:shd w:val="clear" w:color="auto" w:fill="auto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对顾客满意率进行统计</w:t>
                  </w:r>
                </w:p>
              </w:tc>
              <w:tc>
                <w:tcPr>
                  <w:tcW w:w="1811" w:type="dxa"/>
                  <w:shd w:val="clear" w:color="auto" w:fill="auto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每月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 xml:space="preserve">每季度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>每年</w:t>
                  </w:r>
                </w:p>
              </w:tc>
              <w:tc>
                <w:tcPr>
                  <w:tcW w:w="1342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柱状图</w:t>
                  </w:r>
                </w:p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饼状图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鱼刺图</w:t>
                  </w:r>
                </w:p>
              </w:tc>
              <w:tc>
                <w:tcPr>
                  <w:tcW w:w="1314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已用于</w:t>
                  </w:r>
                </w:p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未用于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25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质量管理体系的绩效和有效性</w:t>
                  </w:r>
                </w:p>
              </w:tc>
              <w:tc>
                <w:tcPr>
                  <w:tcW w:w="2651" w:type="dxa"/>
                  <w:shd w:val="clear" w:color="auto" w:fill="auto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对内审不符合项进行分析</w:t>
                  </w:r>
                </w:p>
              </w:tc>
              <w:tc>
                <w:tcPr>
                  <w:tcW w:w="1811" w:type="dxa"/>
                  <w:shd w:val="clear" w:color="auto" w:fill="auto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每月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 xml:space="preserve">每季度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>每年</w:t>
                  </w:r>
                </w:p>
              </w:tc>
              <w:tc>
                <w:tcPr>
                  <w:tcW w:w="1342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柱状图</w:t>
                  </w:r>
                </w:p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饼状图</w:t>
                  </w:r>
                </w:p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鱼刺图</w:t>
                  </w:r>
                </w:p>
              </w:tc>
              <w:tc>
                <w:tcPr>
                  <w:tcW w:w="1314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已用于</w:t>
                  </w:r>
                </w:p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未用于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25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策划是否得到有效实施</w:t>
                  </w:r>
                </w:p>
              </w:tc>
              <w:tc>
                <w:tcPr>
                  <w:tcW w:w="2651" w:type="dxa"/>
                  <w:shd w:val="clear" w:color="auto" w:fill="auto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对质量目标完成/Cpk进行统计</w:t>
                  </w:r>
                </w:p>
              </w:tc>
              <w:tc>
                <w:tcPr>
                  <w:tcW w:w="1811" w:type="dxa"/>
                  <w:shd w:val="clear" w:color="auto" w:fill="auto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每月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 xml:space="preserve">每季度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>每年</w:t>
                  </w:r>
                </w:p>
              </w:tc>
              <w:tc>
                <w:tcPr>
                  <w:tcW w:w="1342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柱状图</w:t>
                  </w:r>
                </w:p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饼状图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SPC</w:t>
                  </w:r>
                </w:p>
              </w:tc>
              <w:tc>
                <w:tcPr>
                  <w:tcW w:w="1314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已用于</w:t>
                  </w:r>
                </w:p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未用于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25" w:type="dxa"/>
                </w:tcPr>
                <w:p>
                  <w:pPr>
                    <w:rPr>
                      <w:rFonts w:hint="eastAsia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针对风险和机遇所采取措施的有效性</w:t>
                  </w:r>
                </w:p>
              </w:tc>
              <w:tc>
                <w:tcPr>
                  <w:tcW w:w="2651" w:type="dxa"/>
                  <w:shd w:val="clear" w:color="auto" w:fill="auto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对质量目标完成进行统计</w:t>
                  </w:r>
                </w:p>
              </w:tc>
              <w:tc>
                <w:tcPr>
                  <w:tcW w:w="1811" w:type="dxa"/>
                  <w:shd w:val="clear" w:color="auto" w:fill="auto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每月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 xml:space="preserve">每季度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>每年</w:t>
                  </w:r>
                </w:p>
              </w:tc>
              <w:tc>
                <w:tcPr>
                  <w:tcW w:w="1342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柱状图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饼状图</w:t>
                  </w:r>
                </w:p>
              </w:tc>
              <w:tc>
                <w:tcPr>
                  <w:tcW w:w="1314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已用于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未用于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25" w:type="dxa"/>
                </w:tcPr>
                <w:p>
                  <w:pPr>
                    <w:rPr>
                      <w:rFonts w:hint="eastAsia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外部供方的绩效</w:t>
                  </w:r>
                </w:p>
              </w:tc>
              <w:tc>
                <w:tcPr>
                  <w:tcW w:w="2651" w:type="dxa"/>
                  <w:shd w:val="clear" w:color="auto" w:fill="auto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对外部供方的供货质量和服务质量进行统计分析</w:t>
                  </w:r>
                </w:p>
              </w:tc>
              <w:tc>
                <w:tcPr>
                  <w:tcW w:w="1811" w:type="dxa"/>
                  <w:shd w:val="clear" w:color="auto" w:fill="auto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每月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 xml:space="preserve">每季度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>每年</w:t>
                  </w:r>
                </w:p>
              </w:tc>
              <w:tc>
                <w:tcPr>
                  <w:tcW w:w="1342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柱状图</w:t>
                  </w:r>
                </w:p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饼状图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SPC</w:t>
                  </w:r>
                </w:p>
              </w:tc>
              <w:tc>
                <w:tcPr>
                  <w:tcW w:w="1314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已用于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未用于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25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质量管理体系改进的需求</w:t>
                  </w:r>
                </w:p>
              </w:tc>
              <w:tc>
                <w:tcPr>
                  <w:tcW w:w="2651" w:type="dxa"/>
                  <w:shd w:val="clear" w:color="auto" w:fill="auto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对QMS存在的需要问题进行分析</w:t>
                  </w:r>
                </w:p>
              </w:tc>
              <w:tc>
                <w:tcPr>
                  <w:tcW w:w="1811" w:type="dxa"/>
                  <w:shd w:val="clear" w:color="auto" w:fill="auto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每月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 xml:space="preserve">每季度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>每年</w:t>
                  </w:r>
                </w:p>
              </w:tc>
              <w:tc>
                <w:tcPr>
                  <w:tcW w:w="1342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柱状图</w:t>
                  </w:r>
                </w:p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饼状图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SPC</w:t>
                  </w:r>
                </w:p>
              </w:tc>
              <w:tc>
                <w:tcPr>
                  <w:tcW w:w="1314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已用于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未用于</w:t>
                  </w:r>
                </w:p>
              </w:tc>
            </w:tr>
          </w:tbl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149" w:type="dxa"/>
            <w:vMerge w:val="continue"/>
            <w:vAlign w:val="top"/>
          </w:tcPr>
          <w:p/>
        </w:tc>
      </w:tr>
    </w:tbl>
    <w:p/>
    <w:p/>
    <w:p>
      <w:pPr>
        <w:pStyle w:val="3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1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4"/>
      <w:pBdr>
        <w:bottom w:val="none" w:color="auto" w:sz="0" w:space="1"/>
      </w:pBdr>
      <w:spacing w:line="320" w:lineRule="exact"/>
      <w:jc w:val="left"/>
    </w:pPr>
    <w:r>
      <w:pict>
        <v:shape id="文本框 1" o:spid="_x0000_s4097" o:spt="202" type="#_x0000_t202" style="position:absolute;left:0pt;margin-left:554.75pt;margin-top:2.2pt;height:20.2pt;width:172pt;z-index:251661312;mso-width-relative:page;mso-height-relative:page;" stroked="f" coordsize="21600,21600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</w:t>
                </w:r>
                <w:r>
                  <w:rPr>
                    <w:sz w:val="18"/>
                    <w:szCs w:val="18"/>
                  </w:rPr>
                  <w:t>0</w:t>
                </w:r>
                <w:r>
                  <w:rPr>
                    <w:rFonts w:hint="eastAsia"/>
                    <w:sz w:val="18"/>
                    <w:szCs w:val="18"/>
                  </w:rPr>
                  <w:t>管理体系审核记录表(03版)</w:t>
                </w:r>
              </w:p>
            </w:txbxContent>
          </v:textbox>
        </v:shape>
      </w:pict>
    </w:r>
    <w:r>
      <w:rPr>
        <w:rStyle w:val="11"/>
        <w:rFonts w:hint="default"/>
        <w:w w:val="90"/>
      </w:rPr>
      <w:t>Beijing International Standard united Certification Co.,Ltd.</w:t>
    </w: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EEFC60"/>
    <w:multiLevelType w:val="singleLevel"/>
    <w:tmpl w:val="9EEEFC6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F3023B5"/>
    <w:multiLevelType w:val="singleLevel"/>
    <w:tmpl w:val="FF3023B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973B4"/>
    <w:rsid w:val="000237F6"/>
    <w:rsid w:val="0003373A"/>
    <w:rsid w:val="000400E2"/>
    <w:rsid w:val="00062E46"/>
    <w:rsid w:val="000E6B21"/>
    <w:rsid w:val="001A2D7F"/>
    <w:rsid w:val="002939AD"/>
    <w:rsid w:val="00314AF6"/>
    <w:rsid w:val="00337922"/>
    <w:rsid w:val="00340867"/>
    <w:rsid w:val="00380837"/>
    <w:rsid w:val="003A198A"/>
    <w:rsid w:val="00410914"/>
    <w:rsid w:val="0048201E"/>
    <w:rsid w:val="00536930"/>
    <w:rsid w:val="00564E53"/>
    <w:rsid w:val="005D5659"/>
    <w:rsid w:val="00600C20"/>
    <w:rsid w:val="00644FE2"/>
    <w:rsid w:val="0067640C"/>
    <w:rsid w:val="006E678B"/>
    <w:rsid w:val="006E7B1D"/>
    <w:rsid w:val="007757F3"/>
    <w:rsid w:val="007C1B48"/>
    <w:rsid w:val="007E3B15"/>
    <w:rsid w:val="007E6AEB"/>
    <w:rsid w:val="008973EE"/>
    <w:rsid w:val="00971600"/>
    <w:rsid w:val="009973B4"/>
    <w:rsid w:val="009C28C1"/>
    <w:rsid w:val="009F7EED"/>
    <w:rsid w:val="00A80636"/>
    <w:rsid w:val="00AF0AAB"/>
    <w:rsid w:val="00BF597E"/>
    <w:rsid w:val="00C51A36"/>
    <w:rsid w:val="00C55228"/>
    <w:rsid w:val="00C63768"/>
    <w:rsid w:val="00CE315A"/>
    <w:rsid w:val="00D06F59"/>
    <w:rsid w:val="00D8388C"/>
    <w:rsid w:val="00E6224C"/>
    <w:rsid w:val="00EB0164"/>
    <w:rsid w:val="00ED0F62"/>
    <w:rsid w:val="01260C71"/>
    <w:rsid w:val="016D18E6"/>
    <w:rsid w:val="01E27364"/>
    <w:rsid w:val="02AF2EDC"/>
    <w:rsid w:val="02C75A20"/>
    <w:rsid w:val="032F5195"/>
    <w:rsid w:val="03A0688A"/>
    <w:rsid w:val="03A32F8E"/>
    <w:rsid w:val="03AC3D8E"/>
    <w:rsid w:val="03CE483E"/>
    <w:rsid w:val="03CF54E8"/>
    <w:rsid w:val="0405614C"/>
    <w:rsid w:val="04883DB3"/>
    <w:rsid w:val="04981EC9"/>
    <w:rsid w:val="050D3D1E"/>
    <w:rsid w:val="056577F0"/>
    <w:rsid w:val="05705C5F"/>
    <w:rsid w:val="057753FF"/>
    <w:rsid w:val="05A05014"/>
    <w:rsid w:val="05F6270F"/>
    <w:rsid w:val="0605101B"/>
    <w:rsid w:val="061B4460"/>
    <w:rsid w:val="067B702D"/>
    <w:rsid w:val="06994A8D"/>
    <w:rsid w:val="06AA7E97"/>
    <w:rsid w:val="06AB232E"/>
    <w:rsid w:val="06ED612A"/>
    <w:rsid w:val="08767210"/>
    <w:rsid w:val="08851DD7"/>
    <w:rsid w:val="08A87AD1"/>
    <w:rsid w:val="08C22483"/>
    <w:rsid w:val="08ED1EE8"/>
    <w:rsid w:val="09005957"/>
    <w:rsid w:val="090744DF"/>
    <w:rsid w:val="096333C5"/>
    <w:rsid w:val="098533E9"/>
    <w:rsid w:val="09933EF9"/>
    <w:rsid w:val="09AA0CA5"/>
    <w:rsid w:val="09FA6045"/>
    <w:rsid w:val="0A0F142E"/>
    <w:rsid w:val="0A1C56C1"/>
    <w:rsid w:val="0A904067"/>
    <w:rsid w:val="0ACA6ED2"/>
    <w:rsid w:val="0AEF4D8D"/>
    <w:rsid w:val="0AF418DF"/>
    <w:rsid w:val="0BE64DFF"/>
    <w:rsid w:val="0C5423F7"/>
    <w:rsid w:val="0C8009B8"/>
    <w:rsid w:val="0CC102DA"/>
    <w:rsid w:val="0D181113"/>
    <w:rsid w:val="0D1E4D9B"/>
    <w:rsid w:val="0D4D1326"/>
    <w:rsid w:val="0D6A2C36"/>
    <w:rsid w:val="0DB35CC0"/>
    <w:rsid w:val="0E49595F"/>
    <w:rsid w:val="0EB8524B"/>
    <w:rsid w:val="0EDB0566"/>
    <w:rsid w:val="0F86648B"/>
    <w:rsid w:val="0F9C35C1"/>
    <w:rsid w:val="0FFA42BF"/>
    <w:rsid w:val="100B6D7F"/>
    <w:rsid w:val="100D075A"/>
    <w:rsid w:val="106A3497"/>
    <w:rsid w:val="108219C2"/>
    <w:rsid w:val="10991918"/>
    <w:rsid w:val="10A120FB"/>
    <w:rsid w:val="10A160AF"/>
    <w:rsid w:val="10AB5B5F"/>
    <w:rsid w:val="10C112A0"/>
    <w:rsid w:val="10C11C69"/>
    <w:rsid w:val="10DD2E35"/>
    <w:rsid w:val="11536201"/>
    <w:rsid w:val="115D3DB9"/>
    <w:rsid w:val="11BD2BE2"/>
    <w:rsid w:val="11BE2038"/>
    <w:rsid w:val="11DC0AC4"/>
    <w:rsid w:val="11E2439D"/>
    <w:rsid w:val="12563B2D"/>
    <w:rsid w:val="12A2571D"/>
    <w:rsid w:val="12A42EA7"/>
    <w:rsid w:val="12A506D3"/>
    <w:rsid w:val="12AB4422"/>
    <w:rsid w:val="13296CDD"/>
    <w:rsid w:val="134E7573"/>
    <w:rsid w:val="13890C2B"/>
    <w:rsid w:val="13A420AC"/>
    <w:rsid w:val="13C11723"/>
    <w:rsid w:val="13EB79B2"/>
    <w:rsid w:val="145B46D3"/>
    <w:rsid w:val="14C400FD"/>
    <w:rsid w:val="14F1297E"/>
    <w:rsid w:val="14F26225"/>
    <w:rsid w:val="15023387"/>
    <w:rsid w:val="15051B66"/>
    <w:rsid w:val="151414F9"/>
    <w:rsid w:val="154C7AB0"/>
    <w:rsid w:val="155F4281"/>
    <w:rsid w:val="15BC540D"/>
    <w:rsid w:val="16210B83"/>
    <w:rsid w:val="16485977"/>
    <w:rsid w:val="16583F2B"/>
    <w:rsid w:val="16911131"/>
    <w:rsid w:val="169D3E09"/>
    <w:rsid w:val="16AB3CAD"/>
    <w:rsid w:val="16E341B9"/>
    <w:rsid w:val="16F10A78"/>
    <w:rsid w:val="17226BDD"/>
    <w:rsid w:val="17446813"/>
    <w:rsid w:val="177551EA"/>
    <w:rsid w:val="179B1D36"/>
    <w:rsid w:val="17C079EC"/>
    <w:rsid w:val="17F76BA3"/>
    <w:rsid w:val="182A66F0"/>
    <w:rsid w:val="184816AE"/>
    <w:rsid w:val="186A6524"/>
    <w:rsid w:val="186F767B"/>
    <w:rsid w:val="187F0353"/>
    <w:rsid w:val="188852B3"/>
    <w:rsid w:val="18E725C6"/>
    <w:rsid w:val="18FB3FC3"/>
    <w:rsid w:val="19444428"/>
    <w:rsid w:val="19553BF7"/>
    <w:rsid w:val="197008AF"/>
    <w:rsid w:val="19746F33"/>
    <w:rsid w:val="197E61C1"/>
    <w:rsid w:val="199565C0"/>
    <w:rsid w:val="19D74BC7"/>
    <w:rsid w:val="19FD49DB"/>
    <w:rsid w:val="1A041A8F"/>
    <w:rsid w:val="1A546A4C"/>
    <w:rsid w:val="1A6C3FF9"/>
    <w:rsid w:val="1AAF33A8"/>
    <w:rsid w:val="1AB42370"/>
    <w:rsid w:val="1ACF1254"/>
    <w:rsid w:val="1AED5B63"/>
    <w:rsid w:val="1B462375"/>
    <w:rsid w:val="1B5E3B97"/>
    <w:rsid w:val="1C392A3A"/>
    <w:rsid w:val="1CA35401"/>
    <w:rsid w:val="1CB1322F"/>
    <w:rsid w:val="1D4D4A00"/>
    <w:rsid w:val="1DC4038A"/>
    <w:rsid w:val="1DF36090"/>
    <w:rsid w:val="1DFE25B1"/>
    <w:rsid w:val="1E511FFA"/>
    <w:rsid w:val="1E752FA2"/>
    <w:rsid w:val="1EF77273"/>
    <w:rsid w:val="1F1B65D5"/>
    <w:rsid w:val="1F35289F"/>
    <w:rsid w:val="1F4E73A5"/>
    <w:rsid w:val="1F8E0A45"/>
    <w:rsid w:val="1FAB395F"/>
    <w:rsid w:val="1FB8538A"/>
    <w:rsid w:val="1FF16224"/>
    <w:rsid w:val="201572E0"/>
    <w:rsid w:val="20272451"/>
    <w:rsid w:val="203255D2"/>
    <w:rsid w:val="20403C64"/>
    <w:rsid w:val="205905F2"/>
    <w:rsid w:val="205B3801"/>
    <w:rsid w:val="207644C2"/>
    <w:rsid w:val="2077793C"/>
    <w:rsid w:val="20A856C1"/>
    <w:rsid w:val="21A07B88"/>
    <w:rsid w:val="21D24208"/>
    <w:rsid w:val="226B2F60"/>
    <w:rsid w:val="22813299"/>
    <w:rsid w:val="23461CA8"/>
    <w:rsid w:val="235F5C65"/>
    <w:rsid w:val="238A1BAA"/>
    <w:rsid w:val="23900E62"/>
    <w:rsid w:val="23BF3886"/>
    <w:rsid w:val="241A6B34"/>
    <w:rsid w:val="24285E2F"/>
    <w:rsid w:val="242A7B69"/>
    <w:rsid w:val="247622DE"/>
    <w:rsid w:val="2480482A"/>
    <w:rsid w:val="24A05D8E"/>
    <w:rsid w:val="24D03790"/>
    <w:rsid w:val="24FC7C66"/>
    <w:rsid w:val="2519537A"/>
    <w:rsid w:val="258041F6"/>
    <w:rsid w:val="258609CC"/>
    <w:rsid w:val="261B55F8"/>
    <w:rsid w:val="261D5675"/>
    <w:rsid w:val="269C7CAD"/>
    <w:rsid w:val="271B4DE1"/>
    <w:rsid w:val="272228DE"/>
    <w:rsid w:val="27443F4D"/>
    <w:rsid w:val="274B78E8"/>
    <w:rsid w:val="27602485"/>
    <w:rsid w:val="27CF15FE"/>
    <w:rsid w:val="27D42EE9"/>
    <w:rsid w:val="27E10A81"/>
    <w:rsid w:val="27FE6486"/>
    <w:rsid w:val="280B3F2E"/>
    <w:rsid w:val="28341F0D"/>
    <w:rsid w:val="2892323E"/>
    <w:rsid w:val="289361DE"/>
    <w:rsid w:val="291C5E47"/>
    <w:rsid w:val="292E1A37"/>
    <w:rsid w:val="296D2D47"/>
    <w:rsid w:val="29CB46C2"/>
    <w:rsid w:val="29F77BA5"/>
    <w:rsid w:val="2A3A6E77"/>
    <w:rsid w:val="2A85024C"/>
    <w:rsid w:val="2B0D2F04"/>
    <w:rsid w:val="2B1D2572"/>
    <w:rsid w:val="2B206A2D"/>
    <w:rsid w:val="2B4C1179"/>
    <w:rsid w:val="2BD60481"/>
    <w:rsid w:val="2BEA3FA7"/>
    <w:rsid w:val="2C2E44D4"/>
    <w:rsid w:val="2C7B6C71"/>
    <w:rsid w:val="2D357F0D"/>
    <w:rsid w:val="2D4E604F"/>
    <w:rsid w:val="2D5C2AB0"/>
    <w:rsid w:val="2D7A20E6"/>
    <w:rsid w:val="2DC57805"/>
    <w:rsid w:val="2DDF08DF"/>
    <w:rsid w:val="2DE3793B"/>
    <w:rsid w:val="2DFF79D8"/>
    <w:rsid w:val="2E367C56"/>
    <w:rsid w:val="2E440885"/>
    <w:rsid w:val="2EEE512C"/>
    <w:rsid w:val="2F511B05"/>
    <w:rsid w:val="2F7C571D"/>
    <w:rsid w:val="2FA86B66"/>
    <w:rsid w:val="2FE823A5"/>
    <w:rsid w:val="2FEA1C57"/>
    <w:rsid w:val="300172B8"/>
    <w:rsid w:val="30945277"/>
    <w:rsid w:val="30C71DD4"/>
    <w:rsid w:val="30DC7CB1"/>
    <w:rsid w:val="30ED30CC"/>
    <w:rsid w:val="31064141"/>
    <w:rsid w:val="31B477DB"/>
    <w:rsid w:val="31B67BE2"/>
    <w:rsid w:val="31CA71DD"/>
    <w:rsid w:val="324E5138"/>
    <w:rsid w:val="32583FEE"/>
    <w:rsid w:val="331E21CE"/>
    <w:rsid w:val="33562A0D"/>
    <w:rsid w:val="33715F28"/>
    <w:rsid w:val="33D83CE6"/>
    <w:rsid w:val="33F07155"/>
    <w:rsid w:val="340C6245"/>
    <w:rsid w:val="343C4522"/>
    <w:rsid w:val="347A0336"/>
    <w:rsid w:val="34F92D63"/>
    <w:rsid w:val="35527F1F"/>
    <w:rsid w:val="357914C0"/>
    <w:rsid w:val="35BA5DAD"/>
    <w:rsid w:val="35D721CD"/>
    <w:rsid w:val="36174333"/>
    <w:rsid w:val="364A3F09"/>
    <w:rsid w:val="367A501B"/>
    <w:rsid w:val="372D3763"/>
    <w:rsid w:val="37A3423F"/>
    <w:rsid w:val="37A66325"/>
    <w:rsid w:val="37AF435B"/>
    <w:rsid w:val="37B82B0E"/>
    <w:rsid w:val="37D8509F"/>
    <w:rsid w:val="380178E9"/>
    <w:rsid w:val="38363F4B"/>
    <w:rsid w:val="386866FF"/>
    <w:rsid w:val="38803663"/>
    <w:rsid w:val="389A539F"/>
    <w:rsid w:val="38B37216"/>
    <w:rsid w:val="38BD5C7F"/>
    <w:rsid w:val="38C5580C"/>
    <w:rsid w:val="38EC325F"/>
    <w:rsid w:val="39286E54"/>
    <w:rsid w:val="399117DD"/>
    <w:rsid w:val="39972637"/>
    <w:rsid w:val="39D7104B"/>
    <w:rsid w:val="3A3E0D9F"/>
    <w:rsid w:val="3A5573DE"/>
    <w:rsid w:val="3AAB1306"/>
    <w:rsid w:val="3ABD0173"/>
    <w:rsid w:val="3ACE23E2"/>
    <w:rsid w:val="3B227AA7"/>
    <w:rsid w:val="3B4241C0"/>
    <w:rsid w:val="3B5F0280"/>
    <w:rsid w:val="3BEE1D6F"/>
    <w:rsid w:val="3BF1473C"/>
    <w:rsid w:val="3CA475E5"/>
    <w:rsid w:val="3CA717F2"/>
    <w:rsid w:val="3CC56579"/>
    <w:rsid w:val="3D9F1714"/>
    <w:rsid w:val="3DAB460B"/>
    <w:rsid w:val="3DDA7DB2"/>
    <w:rsid w:val="3E342793"/>
    <w:rsid w:val="3E3C5235"/>
    <w:rsid w:val="3EA34B57"/>
    <w:rsid w:val="3EEF1E6E"/>
    <w:rsid w:val="3F654598"/>
    <w:rsid w:val="40571F31"/>
    <w:rsid w:val="40760623"/>
    <w:rsid w:val="408B7234"/>
    <w:rsid w:val="40E27AF7"/>
    <w:rsid w:val="40F80D82"/>
    <w:rsid w:val="41342A6B"/>
    <w:rsid w:val="414C7183"/>
    <w:rsid w:val="418D501C"/>
    <w:rsid w:val="41E9167B"/>
    <w:rsid w:val="42416B50"/>
    <w:rsid w:val="4262379E"/>
    <w:rsid w:val="427A1188"/>
    <w:rsid w:val="42A238ED"/>
    <w:rsid w:val="43230FB9"/>
    <w:rsid w:val="432A5E11"/>
    <w:rsid w:val="433B1167"/>
    <w:rsid w:val="435912E3"/>
    <w:rsid w:val="435F500F"/>
    <w:rsid w:val="43C730CD"/>
    <w:rsid w:val="44A567F5"/>
    <w:rsid w:val="453B1EBC"/>
    <w:rsid w:val="45635AEC"/>
    <w:rsid w:val="45BA54FA"/>
    <w:rsid w:val="45EC74A5"/>
    <w:rsid w:val="45FA6B69"/>
    <w:rsid w:val="460414DD"/>
    <w:rsid w:val="46332B60"/>
    <w:rsid w:val="4654705C"/>
    <w:rsid w:val="468D2C1F"/>
    <w:rsid w:val="468D3CA5"/>
    <w:rsid w:val="46EA7997"/>
    <w:rsid w:val="470243E7"/>
    <w:rsid w:val="471F1498"/>
    <w:rsid w:val="47271944"/>
    <w:rsid w:val="475C4BFE"/>
    <w:rsid w:val="47BB044C"/>
    <w:rsid w:val="48262DE5"/>
    <w:rsid w:val="49C0281D"/>
    <w:rsid w:val="49E449BF"/>
    <w:rsid w:val="49EC77B8"/>
    <w:rsid w:val="49ED5B1C"/>
    <w:rsid w:val="4AD45EF1"/>
    <w:rsid w:val="4AE04A18"/>
    <w:rsid w:val="4B337454"/>
    <w:rsid w:val="4B407CC6"/>
    <w:rsid w:val="4B42232B"/>
    <w:rsid w:val="4B825A76"/>
    <w:rsid w:val="4B8B3702"/>
    <w:rsid w:val="4B9B0D7E"/>
    <w:rsid w:val="4BC83B65"/>
    <w:rsid w:val="4CA74E41"/>
    <w:rsid w:val="4CA91B51"/>
    <w:rsid w:val="4CB62537"/>
    <w:rsid w:val="4CD2365B"/>
    <w:rsid w:val="4D352804"/>
    <w:rsid w:val="4D791805"/>
    <w:rsid w:val="4D8F2F88"/>
    <w:rsid w:val="4DB86BCB"/>
    <w:rsid w:val="4DD85058"/>
    <w:rsid w:val="4E0166A9"/>
    <w:rsid w:val="4E1551DB"/>
    <w:rsid w:val="4E7774D0"/>
    <w:rsid w:val="4EF04B81"/>
    <w:rsid w:val="4F594843"/>
    <w:rsid w:val="503C3BCC"/>
    <w:rsid w:val="505C4971"/>
    <w:rsid w:val="50C41CF1"/>
    <w:rsid w:val="51217DA6"/>
    <w:rsid w:val="51294703"/>
    <w:rsid w:val="51425A27"/>
    <w:rsid w:val="5158757E"/>
    <w:rsid w:val="521A5D1E"/>
    <w:rsid w:val="523624DE"/>
    <w:rsid w:val="52A23F56"/>
    <w:rsid w:val="52BA5471"/>
    <w:rsid w:val="52D871F4"/>
    <w:rsid w:val="52F263D6"/>
    <w:rsid w:val="53024EB7"/>
    <w:rsid w:val="53261795"/>
    <w:rsid w:val="53953BE7"/>
    <w:rsid w:val="53F51637"/>
    <w:rsid w:val="54124FEF"/>
    <w:rsid w:val="541C4B67"/>
    <w:rsid w:val="542F5BB6"/>
    <w:rsid w:val="543016DE"/>
    <w:rsid w:val="552A2893"/>
    <w:rsid w:val="556B045B"/>
    <w:rsid w:val="557D4E77"/>
    <w:rsid w:val="55C375DD"/>
    <w:rsid w:val="56156439"/>
    <w:rsid w:val="56643532"/>
    <w:rsid w:val="568B5A7B"/>
    <w:rsid w:val="570A6E63"/>
    <w:rsid w:val="573B0118"/>
    <w:rsid w:val="573D2268"/>
    <w:rsid w:val="57411925"/>
    <w:rsid w:val="57441E32"/>
    <w:rsid w:val="57535542"/>
    <w:rsid w:val="575B3098"/>
    <w:rsid w:val="57F55B90"/>
    <w:rsid w:val="580F191D"/>
    <w:rsid w:val="58276F84"/>
    <w:rsid w:val="58584813"/>
    <w:rsid w:val="58B728A2"/>
    <w:rsid w:val="58B868EB"/>
    <w:rsid w:val="590D059A"/>
    <w:rsid w:val="592802C2"/>
    <w:rsid w:val="5978735A"/>
    <w:rsid w:val="59E42114"/>
    <w:rsid w:val="59E710C8"/>
    <w:rsid w:val="5A1C59A1"/>
    <w:rsid w:val="5A407674"/>
    <w:rsid w:val="5A432974"/>
    <w:rsid w:val="5A6A20C5"/>
    <w:rsid w:val="5AD64AF2"/>
    <w:rsid w:val="5B544EB3"/>
    <w:rsid w:val="5B6A33DD"/>
    <w:rsid w:val="5BF04FFA"/>
    <w:rsid w:val="5C4D2649"/>
    <w:rsid w:val="5C8D6CFF"/>
    <w:rsid w:val="5C966EB6"/>
    <w:rsid w:val="5CB9068F"/>
    <w:rsid w:val="5D013462"/>
    <w:rsid w:val="5D1258FA"/>
    <w:rsid w:val="5D3351AF"/>
    <w:rsid w:val="5D604E0E"/>
    <w:rsid w:val="5D656BAA"/>
    <w:rsid w:val="5D6672E4"/>
    <w:rsid w:val="5D6B7BC6"/>
    <w:rsid w:val="5D6C21B2"/>
    <w:rsid w:val="5DBF6011"/>
    <w:rsid w:val="5DC13CCC"/>
    <w:rsid w:val="5DC35118"/>
    <w:rsid w:val="5DC55564"/>
    <w:rsid w:val="5DDA5570"/>
    <w:rsid w:val="5DE86882"/>
    <w:rsid w:val="5E0D6E91"/>
    <w:rsid w:val="5E264AF8"/>
    <w:rsid w:val="5E3B413F"/>
    <w:rsid w:val="5E971B73"/>
    <w:rsid w:val="5EA12B9A"/>
    <w:rsid w:val="5EB61B43"/>
    <w:rsid w:val="5EBA7075"/>
    <w:rsid w:val="5EBF5DC8"/>
    <w:rsid w:val="5F02275D"/>
    <w:rsid w:val="5F14059B"/>
    <w:rsid w:val="5F291E1B"/>
    <w:rsid w:val="5F551AC0"/>
    <w:rsid w:val="5F616E2A"/>
    <w:rsid w:val="5FE015B4"/>
    <w:rsid w:val="6018182B"/>
    <w:rsid w:val="601E0F43"/>
    <w:rsid w:val="60596F8D"/>
    <w:rsid w:val="608075E1"/>
    <w:rsid w:val="61326FB1"/>
    <w:rsid w:val="61384C31"/>
    <w:rsid w:val="61E77A7E"/>
    <w:rsid w:val="622A4138"/>
    <w:rsid w:val="62385483"/>
    <w:rsid w:val="62385A6C"/>
    <w:rsid w:val="62876D77"/>
    <w:rsid w:val="62887D75"/>
    <w:rsid w:val="62CA4AF4"/>
    <w:rsid w:val="62E4371E"/>
    <w:rsid w:val="632045D1"/>
    <w:rsid w:val="6342544F"/>
    <w:rsid w:val="63720424"/>
    <w:rsid w:val="63A31ABC"/>
    <w:rsid w:val="63C65078"/>
    <w:rsid w:val="63EA156F"/>
    <w:rsid w:val="63EA6D88"/>
    <w:rsid w:val="64621F9C"/>
    <w:rsid w:val="64A537DD"/>
    <w:rsid w:val="64B96E85"/>
    <w:rsid w:val="64BB6795"/>
    <w:rsid w:val="64D069A0"/>
    <w:rsid w:val="64F27E75"/>
    <w:rsid w:val="65067C78"/>
    <w:rsid w:val="65662197"/>
    <w:rsid w:val="658C79F9"/>
    <w:rsid w:val="65A33DF6"/>
    <w:rsid w:val="65BE04E1"/>
    <w:rsid w:val="65F429F0"/>
    <w:rsid w:val="665A6FDB"/>
    <w:rsid w:val="66B368AE"/>
    <w:rsid w:val="66B532F3"/>
    <w:rsid w:val="66C2760F"/>
    <w:rsid w:val="675A3B6C"/>
    <w:rsid w:val="67AF7DB6"/>
    <w:rsid w:val="680564C6"/>
    <w:rsid w:val="681B3F7A"/>
    <w:rsid w:val="68233428"/>
    <w:rsid w:val="68B54AF7"/>
    <w:rsid w:val="68CA009F"/>
    <w:rsid w:val="695B5920"/>
    <w:rsid w:val="69B35A0D"/>
    <w:rsid w:val="69CC607C"/>
    <w:rsid w:val="69EA1163"/>
    <w:rsid w:val="69F96768"/>
    <w:rsid w:val="6A287F98"/>
    <w:rsid w:val="6AB40496"/>
    <w:rsid w:val="6ABD1D5E"/>
    <w:rsid w:val="6ACD348D"/>
    <w:rsid w:val="6AF33939"/>
    <w:rsid w:val="6B795D62"/>
    <w:rsid w:val="6BC747F5"/>
    <w:rsid w:val="6BD35CE4"/>
    <w:rsid w:val="6C3014BE"/>
    <w:rsid w:val="6C5D414F"/>
    <w:rsid w:val="6CA324B4"/>
    <w:rsid w:val="6CDE17FD"/>
    <w:rsid w:val="6D1D2C91"/>
    <w:rsid w:val="6D232D3C"/>
    <w:rsid w:val="6D2F5D1E"/>
    <w:rsid w:val="6D792112"/>
    <w:rsid w:val="6E641038"/>
    <w:rsid w:val="6EBD0EA6"/>
    <w:rsid w:val="6F435405"/>
    <w:rsid w:val="6F4810D8"/>
    <w:rsid w:val="6F6D2BAA"/>
    <w:rsid w:val="6F9A4A47"/>
    <w:rsid w:val="701710D0"/>
    <w:rsid w:val="70795456"/>
    <w:rsid w:val="709946EC"/>
    <w:rsid w:val="7251774B"/>
    <w:rsid w:val="72702455"/>
    <w:rsid w:val="728F2E47"/>
    <w:rsid w:val="72973011"/>
    <w:rsid w:val="72E42D1B"/>
    <w:rsid w:val="734F0911"/>
    <w:rsid w:val="736054C4"/>
    <w:rsid w:val="736C572D"/>
    <w:rsid w:val="73A422EB"/>
    <w:rsid w:val="74103E55"/>
    <w:rsid w:val="745B622A"/>
    <w:rsid w:val="753E2D2E"/>
    <w:rsid w:val="758E15BB"/>
    <w:rsid w:val="75DB13A5"/>
    <w:rsid w:val="75E552E3"/>
    <w:rsid w:val="7648538B"/>
    <w:rsid w:val="76577132"/>
    <w:rsid w:val="76BD747C"/>
    <w:rsid w:val="76CD52EB"/>
    <w:rsid w:val="76FE004A"/>
    <w:rsid w:val="77462C4C"/>
    <w:rsid w:val="779F32B5"/>
    <w:rsid w:val="77A268F6"/>
    <w:rsid w:val="77CC3658"/>
    <w:rsid w:val="780F54C3"/>
    <w:rsid w:val="782C6CF7"/>
    <w:rsid w:val="78680ECD"/>
    <w:rsid w:val="7880670B"/>
    <w:rsid w:val="78EE7F5B"/>
    <w:rsid w:val="78F11CE1"/>
    <w:rsid w:val="78F66955"/>
    <w:rsid w:val="79053EDA"/>
    <w:rsid w:val="79097264"/>
    <w:rsid w:val="791D3993"/>
    <w:rsid w:val="79202162"/>
    <w:rsid w:val="7924138B"/>
    <w:rsid w:val="79714289"/>
    <w:rsid w:val="79826449"/>
    <w:rsid w:val="79D339B9"/>
    <w:rsid w:val="7A200C95"/>
    <w:rsid w:val="7A594332"/>
    <w:rsid w:val="7A8564DB"/>
    <w:rsid w:val="7AC22B97"/>
    <w:rsid w:val="7B131424"/>
    <w:rsid w:val="7B1F5C94"/>
    <w:rsid w:val="7B1F77A4"/>
    <w:rsid w:val="7B292799"/>
    <w:rsid w:val="7B530021"/>
    <w:rsid w:val="7C090682"/>
    <w:rsid w:val="7C6A6CA8"/>
    <w:rsid w:val="7CF04E00"/>
    <w:rsid w:val="7D41026F"/>
    <w:rsid w:val="7D59343F"/>
    <w:rsid w:val="7E0A78B3"/>
    <w:rsid w:val="7E2912F3"/>
    <w:rsid w:val="7F9026D0"/>
    <w:rsid w:val="7F984417"/>
    <w:rsid w:val="7FDB730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2">
    <w:name w:val="表格文字"/>
    <w:basedOn w:val="1"/>
    <w:qFormat/>
    <w:uiPriority w:val="0"/>
    <w:pPr>
      <w:spacing w:before="25" w:after="25"/>
    </w:pPr>
    <w:rPr>
      <w:bCs/>
      <w:spacing w:val="1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</Words>
  <Characters>126</Characters>
  <Lines>1</Lines>
  <Paragraphs>1</Paragraphs>
  <TotalTime>2</TotalTime>
  <ScaleCrop>false</ScaleCrop>
  <LinksUpToDate>false</LinksUpToDate>
  <CharactersWithSpaces>147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张磊</cp:lastModifiedBy>
  <dcterms:modified xsi:type="dcterms:W3CDTF">2020-07-25T00:48:34Z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