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 综合办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陪同人员：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倪娟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 岳树亮（远程）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陈阵南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审核日期： </w:t>
            </w:r>
            <w:r>
              <w:rPr>
                <w:sz w:val="24"/>
                <w:szCs w:val="24"/>
              </w:rPr>
              <w:t>2020.07.21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cs="Arial"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O: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6.1.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8.1.1/8.1.2/8.1.3/8.2/9.1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pStyle w:val="2"/>
            </w:pPr>
            <w:r>
              <w:rPr>
                <w:rFonts w:hint="eastAsia"/>
              </w:rPr>
              <w:t>危险源辨识及风险和机遇的评价</w:t>
            </w:r>
          </w:p>
        </w:tc>
        <w:tc>
          <w:tcPr>
            <w:tcW w:w="960" w:type="dxa"/>
            <w:vMerge w:val="restart"/>
          </w:tcPr>
          <w:p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：6.1</w:t>
            </w:r>
            <w:r>
              <w:rPr>
                <w:szCs w:val="21"/>
              </w:rPr>
              <w:t>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如：手册第6.1.4条款、《职业健康安全目标及管理方案》、《综合办危险源辨识、风险评价及风险控制策划表》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组织针对重要职业健康安全风险、合规义务、风险和机遇制订了控制措施（管理方案）</w:t>
            </w:r>
          </w:p>
          <w:p/>
          <w:tbl>
            <w:tblPr>
              <w:tblStyle w:val="6"/>
              <w:tblW w:w="877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5734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57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重要职业健康安全风险</w:t>
                  </w:r>
                </w:p>
              </w:tc>
              <w:tc>
                <w:tcPr>
                  <w:tcW w:w="573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制定方案和应急救援预案、定期演练、日常进行检查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57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>按合规义务控制程序操作</w:t>
                  </w:r>
                  <w:r>
                    <w:rPr>
                      <w:rFonts w:ascii="宋体" w:hAnsi="宋体" w:cs="宋体"/>
                      <w:szCs w:val="24"/>
                    </w:rPr>
                    <w:t>，每年</w:t>
                  </w:r>
                  <w:r>
                    <w:rPr>
                      <w:rFonts w:hint="eastAsia" w:ascii="宋体" w:hAnsi="宋体" w:cs="宋体"/>
                      <w:szCs w:val="24"/>
                    </w:rPr>
                    <w:t>进行一次合规性评价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风险和机遇</w:t>
                  </w:r>
                </w:p>
              </w:tc>
              <w:tc>
                <w:tcPr>
                  <w:tcW w:w="57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对</w:t>
                  </w:r>
                  <w:r>
                    <w:rPr>
                      <w:rFonts w:hint="eastAsia" w:ascii="宋体" w:hAnsi="宋体" w:cs="Arial"/>
                      <w:szCs w:val="24"/>
                    </w:rPr>
                    <w:t>主要风险和机遇采用目标、风险和相应程序文件进行控制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完成</w:t>
                  </w:r>
                </w:p>
              </w:tc>
            </w:tr>
          </w:tbl>
          <w:p/>
          <w:p>
            <w:pPr>
              <w:pStyle w:val="2"/>
            </w:pPr>
            <w:r>
              <w:rPr>
                <w:rFonts w:hint="eastAsia"/>
              </w:rPr>
              <w:t>综合办危险源辨识、风险评价及风险控制</w:t>
            </w:r>
          </w:p>
          <w:tbl>
            <w:tblPr>
              <w:tblStyle w:val="6"/>
              <w:tblW w:w="90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99"/>
              <w:gridCol w:w="2770"/>
              <w:gridCol w:w="39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Cs w:val="21"/>
                    </w:rPr>
                    <w:t>危 险 源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风险（可能导致的事故）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需采取的控制措施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开会多人吸烟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他人被动吸烟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挂“禁止吸烟”警示牌或设立无烟会场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长期从事微机作业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造成职业病（腰、颈疲劳）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建议间断性作业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长时间计算机操作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造成眼睛损害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避免长时间操作，可加设屏幕防护装置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电源开关、插座等有漏电现象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造成人员伤害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张贴“用电安全”警示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地面积雪较滑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造成人员滑倒摔伤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安全提示和及时清扫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冬季用电取暖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引发火灾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购置经过CCC认证的电暖器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夏季公厕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蚊蝇和细菌繁殖传播疾病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定期消毒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吸烟、电线短路等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引发火灾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制定应急预案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车辆违规驾驶车辆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造成人员伤害和财产损失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加强驾驶人员的交通法规学习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办公用电及相关设施检修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作业人员触电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由有专业资格人员操作</w:t>
                  </w:r>
                </w:p>
              </w:tc>
            </w:tr>
          </w:tbl>
          <w:p/>
          <w:p>
            <w:pPr>
              <w:pStyle w:val="2"/>
            </w:pPr>
            <w:r>
              <w:rPr>
                <w:rFonts w:hint="eastAsia"/>
              </w:rPr>
              <w:t>法律法规及其他要求的确定</w:t>
            </w:r>
          </w:p>
          <w:tbl>
            <w:tblPr>
              <w:tblStyle w:val="7"/>
              <w:tblW w:w="89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18"/>
              <w:gridCol w:w="1172"/>
              <w:gridCol w:w="955"/>
              <w:gridCol w:w="2855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法规名称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是否有效</w:t>
                  </w:r>
                </w:p>
              </w:tc>
              <w:tc>
                <w:tcPr>
                  <w:tcW w:w="9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28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</w:tcPr>
                <w:p>
                  <w:r>
                    <w:rPr>
                      <w:rFonts w:hint="eastAsia"/>
                    </w:rPr>
                    <w:t>中华人民共和国安全生产法</w:t>
                  </w:r>
                </w:p>
              </w:tc>
              <w:tc>
                <w:tcPr>
                  <w:tcW w:w="117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</w:t>
                  </w:r>
                </w:p>
              </w:tc>
              <w:tc>
                <w:tcPr>
                  <w:tcW w:w="9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倪娟</w:t>
                  </w:r>
                </w:p>
              </w:tc>
              <w:tc>
                <w:tcPr>
                  <w:tcW w:w="2855" w:type="dxa"/>
                </w:tcPr>
                <w:p>
                  <w:r>
                    <w:rPr>
                      <w:rFonts w:hint="eastAsia"/>
                    </w:rPr>
                    <w:t>将适用条款内化为公司制度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</w:tcPr>
                <w:p>
                  <w:r>
                    <w:rPr>
                      <w:rFonts w:hint="eastAsia"/>
                    </w:rPr>
                    <w:t>中华人民共和国消防法</w:t>
                  </w:r>
                </w:p>
              </w:tc>
              <w:tc>
                <w:tcPr>
                  <w:tcW w:w="117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</w:t>
                  </w:r>
                </w:p>
              </w:tc>
              <w:tc>
                <w:tcPr>
                  <w:tcW w:w="9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倪娟</w:t>
                  </w:r>
                </w:p>
              </w:tc>
              <w:tc>
                <w:tcPr>
                  <w:tcW w:w="2855" w:type="dxa"/>
                </w:tcPr>
                <w:p>
                  <w:r>
                    <w:rPr>
                      <w:rFonts w:hint="eastAsia"/>
                    </w:rPr>
                    <w:t>将适用条款内化为公司制度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</w:tcPr>
                <w:p>
                  <w:r>
                    <w:rPr>
                      <w:rFonts w:hint="eastAsia"/>
                    </w:rPr>
                    <w:t>中华人民共和国劳动法</w:t>
                  </w:r>
                </w:p>
              </w:tc>
              <w:tc>
                <w:tcPr>
                  <w:tcW w:w="117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</w:t>
                  </w:r>
                </w:p>
              </w:tc>
              <w:tc>
                <w:tcPr>
                  <w:tcW w:w="9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倪娟</w:t>
                  </w:r>
                </w:p>
              </w:tc>
              <w:tc>
                <w:tcPr>
                  <w:tcW w:w="2855" w:type="dxa"/>
                </w:tcPr>
                <w:p>
                  <w:r>
                    <w:rPr>
                      <w:rFonts w:hint="eastAsia"/>
                    </w:rPr>
                    <w:t>将适用条款内化为公司制度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</w:tcPr>
                <w:p>
                  <w:r>
                    <w:rPr>
                      <w:rFonts w:hint="eastAsia"/>
                    </w:rPr>
                    <w:t>中华人民共和国劳动合同法</w:t>
                  </w:r>
                </w:p>
              </w:tc>
              <w:tc>
                <w:tcPr>
                  <w:tcW w:w="117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</w:t>
                  </w:r>
                </w:p>
              </w:tc>
              <w:tc>
                <w:tcPr>
                  <w:tcW w:w="9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倪娟</w:t>
                  </w:r>
                </w:p>
              </w:tc>
              <w:tc>
                <w:tcPr>
                  <w:tcW w:w="2855" w:type="dxa"/>
                </w:tcPr>
                <w:p>
                  <w:r>
                    <w:rPr>
                      <w:rFonts w:hint="eastAsia"/>
                    </w:rPr>
                    <w:t>将适用条款内化为公司制度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职业健康安全目标及其实现的策划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：6.2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</w:rPr>
              <w:t>分解与考核表》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本部门的分解职业健康安全目标实现情况的评价，及其测量方法是：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18"/>
              <w:gridCol w:w="2374"/>
              <w:gridCol w:w="1485"/>
              <w:gridCol w:w="22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职业健康安全目标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控制参数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237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/>
                      <w:szCs w:val="24"/>
                    </w:rPr>
                    <w:t>意外伤害事故发生率0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综合办</w:t>
                  </w: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交通事故</w:t>
                  </w:r>
                  <w:r>
                    <w:rPr>
                      <w:rFonts w:ascii="宋体" w:hAnsi="宋体"/>
                      <w:szCs w:val="24"/>
                    </w:rPr>
                    <w:t>发生率0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>
                  <w:pPr>
                    <w:jc w:val="center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综合办</w:t>
                  </w: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触电</w:t>
                  </w:r>
                  <w:r>
                    <w:rPr>
                      <w:rFonts w:ascii="宋体" w:hAnsi="宋体"/>
                      <w:szCs w:val="24"/>
                    </w:rPr>
                    <w:t>发生率0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>
                  <w:pPr>
                    <w:jc w:val="center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综合办</w:t>
                  </w: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/>
                      <w:szCs w:val="24"/>
                    </w:rPr>
                    <w:t>火灾事故发生率0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综合办</w:t>
                  </w: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高空坠落</w:t>
                  </w:r>
                  <w:r>
                    <w:rPr>
                      <w:rFonts w:ascii="宋体" w:hAnsi="宋体"/>
                      <w:szCs w:val="24"/>
                    </w:rPr>
                    <w:t>发生率0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>
                  <w:pPr>
                    <w:jc w:val="center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综合办</w:t>
                  </w: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机械伤害</w:t>
                  </w:r>
                  <w:r>
                    <w:rPr>
                      <w:rFonts w:ascii="宋体" w:hAnsi="宋体"/>
                      <w:szCs w:val="24"/>
                    </w:rPr>
                    <w:t>发生率0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>
                  <w:pPr>
                    <w:jc w:val="center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综合办</w:t>
                  </w: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未发生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运行策划与控制</w:t>
            </w:r>
          </w:p>
        </w:tc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O</w:t>
            </w:r>
            <w:r>
              <w:rPr>
                <w:rFonts w:hint="eastAsia"/>
              </w:rPr>
              <w:t>：8.1.</w:t>
            </w:r>
            <w: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如管理手册8.1章、《</w:t>
            </w:r>
            <w:r>
              <w:rPr>
                <w:rFonts w:hint="eastAsia"/>
                <w:szCs w:val="22"/>
              </w:rPr>
              <w:t>环境、职业健康安全控制规程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Cs/>
                <w:spacing w:val="10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395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步骤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职业健康安全措施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措施评估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建立过程准则；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编制安全操作规程</w:t>
                  </w:r>
                </w:p>
              </w:tc>
              <w:tc>
                <w:tcPr>
                  <w:tcW w:w="2109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充分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按照准则实施过程控制；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有《运行控制记录》</w:t>
                  </w:r>
                </w:p>
              </w:tc>
              <w:tc>
                <w:tcPr>
                  <w:tcW w:w="2109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充分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保持和保留必要的文件化信息，以确信过程已按策划得到实施；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有《运行控制记录》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充分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使工作适合于工作人员。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征求员工的意见</w:t>
                  </w:r>
                </w:p>
              </w:tc>
              <w:tc>
                <w:tcPr>
                  <w:tcW w:w="2109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充分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在多雇主的工作场所，组织应与其他组织协调职业健康安全管理体系的相关部分。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充分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不充分</w:t>
                  </w:r>
                </w:p>
              </w:tc>
            </w:tr>
          </w:tbl>
          <w:p/>
          <w:p>
            <w:r>
              <w:rPr>
                <w:rFonts w:hint="eastAsia"/>
              </w:rPr>
              <w:t>存在缺陷：</w:t>
            </w:r>
          </w:p>
          <w:p>
            <w:r>
              <w:rPr>
                <w:rFonts w:hint="eastAsia"/>
              </w:rPr>
              <w:t>现场查《消防点检记录表》，未能及时点检。未按规定悬挂或粘贴警示标志</w:t>
            </w:r>
          </w:p>
        </w:tc>
        <w:tc>
          <w:tcPr>
            <w:tcW w:w="15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N</w:t>
            </w:r>
          </w:p>
          <w:p>
            <w:r>
              <w:rPr>
                <w:rFonts w:hint="eastAsia"/>
              </w:rPr>
              <w:t>《消防点检记录表》未能及时点检；</w:t>
            </w:r>
          </w:p>
          <w:p>
            <w:r>
              <w:rPr>
                <w:rFonts w:hint="eastAsia"/>
              </w:rPr>
              <w:t>未按规定悬挂或粘贴警示标志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O：8.1.2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如：管理手册第8.1.2条款</w:t>
            </w:r>
            <w:r>
              <w:rPr>
                <w:rFonts w:hint="eastAsia"/>
                <w:szCs w:val="21"/>
              </w:rPr>
              <w:t>、《危险源辨识和风险评价控制程序》</w:t>
            </w:r>
          </w:p>
        </w:tc>
        <w:tc>
          <w:tcPr>
            <w:tcW w:w="158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定期检修供电线路，增加防护措施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寻找低危险性的操作、设备替代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增加安全用电防护措施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有三级安全教育、操作培训、技术交底、人员监护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  <w:vAlign w:val="center"/>
                </w:tcPr>
                <w:p>
                  <w:r>
                    <w:rPr>
                      <w:rFonts w:hint="eastAsia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发放口罩、工作服、手套、绝缘装备、安全带和防暑药品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变更管理</w:t>
            </w:r>
          </w:p>
        </w:tc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O</w:t>
            </w:r>
            <w:r>
              <w:rPr>
                <w:rFonts w:hint="eastAsia"/>
              </w:rPr>
              <w:t>：8.</w:t>
            </w:r>
            <w:r>
              <w:t>1.3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如：手册第8.1.3条款</w:t>
            </w:r>
          </w:p>
        </w:tc>
        <w:tc>
          <w:tcPr>
            <w:tcW w:w="158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Cs/>
                <w:spacing w:val="10"/>
              </w:rPr>
            </w:pPr>
            <w:r>
              <w:rPr/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变更的内容：  无变更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工作场所的位置和周边环境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工作组织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工作条件 </w:t>
            </w:r>
            <w:r>
              <w:rPr>
                <w:rFonts w:hint="eastAsia"/>
                <w:szCs w:val="21"/>
              </w:rPr>
              <w:t>□设备 □劳动力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法律法规要求和其他要求的变更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有关危险源和职业健康安全风险的知识或信息的变更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知识和技术的发展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抽取变更相关记录名称：</w:t>
            </w:r>
            <w:r>
              <w:rPr>
                <w:rFonts w:hint="eastAsia"/>
                <w:u w:val="single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2121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2121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119" w:type="dxa"/>
                </w:tcPr>
                <w:p>
                  <w:r>
                    <w:rPr>
                      <w:rFonts w:hint="eastAsia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2121" w:type="dxa"/>
                </w:tcPr>
                <w:p/>
              </w:tc>
              <w:tc>
                <w:tcPr>
                  <w:tcW w:w="111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临时性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应急准备与响应</w:t>
            </w:r>
          </w:p>
        </w:tc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O</w:t>
            </w:r>
            <w:r>
              <w:rPr>
                <w:rFonts w:hint="eastAsia"/>
              </w:rPr>
              <w:t>：</w:t>
            </w:r>
            <w:r>
              <w:t>8.2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如：手册第8</w:t>
            </w:r>
            <w:r>
              <w:t>.9</w:t>
            </w:r>
            <w:r>
              <w:rPr>
                <w:rFonts w:hint="eastAsia"/>
              </w:rPr>
              <w:t>章、《环境和职业健康安全应急准备与响应程序》、《应急预案》</w:t>
            </w:r>
          </w:p>
        </w:tc>
        <w:tc>
          <w:tcPr>
            <w:tcW w:w="158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《应急预案》包括：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高空坠落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3032"/>
              <w:gridCol w:w="19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303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99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消防</w:t>
                  </w:r>
                </w:p>
                <w:p>
                  <w:r>
                    <w:rPr>
                      <w:rFonts w:hint="eastAsia"/>
                      <w:szCs w:val="22"/>
                      <w:u w:val="single"/>
                    </w:rPr>
                    <w:t>20</w:t>
                  </w:r>
                  <w:r>
                    <w:rPr>
                      <w:szCs w:val="22"/>
                      <w:u w:val="single"/>
                    </w:rPr>
                    <w:t>20</w:t>
                  </w:r>
                  <w:r>
                    <w:rPr>
                      <w:rFonts w:hint="eastAsia"/>
                      <w:szCs w:val="22"/>
                      <w:u w:val="single"/>
                    </w:rPr>
                    <w:t>年4月15日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3032" w:type="dxa"/>
                </w:tcPr>
                <w:p>
                  <w:r>
                    <w:rPr>
                      <w:rFonts w:hint="eastAsia"/>
                      <w:szCs w:val="22"/>
                    </w:rPr>
                    <w:t>火灾应急预案、消防救援演练方案</w:t>
                  </w:r>
                </w:p>
              </w:tc>
              <w:tc>
                <w:tcPr>
                  <w:tcW w:w="199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3032" w:type="dxa"/>
                </w:tcPr>
                <w:p/>
              </w:tc>
              <w:tc>
                <w:tcPr>
                  <w:tcW w:w="1991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监视、测量、分析和评价绩效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t>O</w:t>
            </w:r>
            <w:r>
              <w:rPr>
                <w:rFonts w:hint="eastAsia"/>
              </w:rPr>
              <w:t>：9.1.1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如：《职业健康安全的监视和测量程序》手册第9.1.1条款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监视、测量、分析和评价的内容：</w:t>
            </w:r>
          </w:p>
          <w:p>
            <w:r>
              <w:rPr>
                <w:rFonts w:hint="eastAsia"/>
              </w:rPr>
              <w:t>日常检查：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危化品管理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特种设备管理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持证上岗人员管理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安全隐患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消防管理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抽取监视、测量、分析和评价相关记录名称：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bCs/>
                <w:u w:val="single"/>
              </w:rPr>
              <w:t>日常安全、环境、职业健康检查记录表</w:t>
            </w:r>
            <w:r>
              <w:rPr>
                <w:rFonts w:hint="eastAsia"/>
                <w:u w:val="single"/>
              </w:rPr>
              <w:t>》</w:t>
            </w:r>
          </w:p>
          <w:p/>
          <w:p>
            <w:r>
              <w:rPr>
                <w:rFonts w:hint="eastAsia"/>
              </w:rPr>
              <w:t>安全用品检测：</w:t>
            </w:r>
          </w:p>
          <w:p>
            <w:r>
              <w:rPr>
                <w:rFonts w:hint="eastAsia"/>
              </w:rPr>
              <w:t xml:space="preserve">安全带 </w:t>
            </w:r>
            <w:r>
              <w:t>5</w:t>
            </w:r>
            <w:r>
              <w:rPr>
                <w:rFonts w:hint="eastAsia"/>
              </w:rPr>
              <w:t xml:space="preserve">件；安全绳 </w:t>
            </w:r>
            <w:r>
              <w:t xml:space="preserve"> 5</w:t>
            </w:r>
            <w:r>
              <w:rPr>
                <w:rFonts w:hint="eastAsia"/>
              </w:rPr>
              <w:t xml:space="preserve">件； </w:t>
            </w:r>
            <w:r>
              <w:t xml:space="preserve"> </w:t>
            </w:r>
            <w:r>
              <w:rPr>
                <w:rFonts w:hint="eastAsia"/>
              </w:rPr>
              <w:t xml:space="preserve">脚扣 </w:t>
            </w:r>
            <w:r>
              <w:t xml:space="preserve"> 10</w:t>
            </w:r>
            <w:r>
              <w:rPr>
                <w:rFonts w:hint="eastAsia"/>
              </w:rPr>
              <w:t>件。</w:t>
            </w:r>
          </w:p>
          <w:p>
            <w:r>
              <w:rPr>
                <w:rFonts w:hint="eastAsia"/>
              </w:rPr>
              <w:t>检测日期：2</w:t>
            </w:r>
            <w:r>
              <w:t>020</w:t>
            </w:r>
            <w:r>
              <w:rPr>
                <w:rFonts w:hint="eastAsia"/>
              </w:rPr>
              <w:t>-</w:t>
            </w:r>
            <w:r>
              <w:t>04</w:t>
            </w:r>
            <w:r>
              <w:rPr>
                <w:rFonts w:hint="eastAsia"/>
              </w:rPr>
              <w:t>-</w:t>
            </w:r>
            <w:r>
              <w:t xml:space="preserve">26   </w:t>
            </w:r>
            <w:r>
              <w:rPr>
                <w:rFonts w:hint="eastAsia"/>
              </w:rPr>
              <w:t xml:space="preserve">检测结果：合格 </w:t>
            </w:r>
            <w:r>
              <w:t xml:space="preserve">   </w:t>
            </w:r>
            <w:r>
              <w:rPr>
                <w:rFonts w:hint="eastAsia"/>
              </w:rPr>
              <w:t>检测机构：安徽恒力安全检测技术有限公司</w:t>
            </w:r>
          </w:p>
          <w:p/>
          <w:p>
            <w:r>
              <w:rPr>
                <w:rFonts w:hint="eastAsia"/>
              </w:rPr>
              <w:t>绝缘工器具试验：</w:t>
            </w:r>
          </w:p>
          <w:p>
            <w:r>
              <w:rPr>
                <w:rFonts w:hint="eastAsia"/>
              </w:rPr>
              <w:t>电容型验电器、绝缘杆、绝缘胶垫、绝缘靴、绝缘手套、安全帽</w:t>
            </w:r>
          </w:p>
          <w:p>
            <w:r>
              <w:rPr>
                <w:rFonts w:hint="eastAsia"/>
              </w:rPr>
              <w:t>试验日期：2</w:t>
            </w:r>
            <w:r>
              <w:t>020</w:t>
            </w:r>
            <w:r>
              <w:rPr>
                <w:rFonts w:hint="eastAsia"/>
              </w:rPr>
              <w:t>-</w:t>
            </w:r>
            <w:r>
              <w:t>06</w:t>
            </w:r>
            <w:r>
              <w:rPr>
                <w:rFonts w:hint="eastAsia"/>
              </w:rPr>
              <w:t>-</w:t>
            </w:r>
            <w:r>
              <w:t xml:space="preserve">24   </w:t>
            </w:r>
            <w:r>
              <w:rPr>
                <w:rFonts w:hint="eastAsia"/>
              </w:rPr>
              <w:t xml:space="preserve">试验结果：合格 </w:t>
            </w:r>
            <w:r>
              <w:t xml:space="preserve">   </w:t>
            </w:r>
            <w:r>
              <w:rPr>
                <w:rFonts w:hint="eastAsia"/>
              </w:rPr>
              <w:t>委托单位：国网安徽电动汽车服务有限公司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4907"/>
    <w:rsid w:val="000237F6"/>
    <w:rsid w:val="0002712F"/>
    <w:rsid w:val="0003373A"/>
    <w:rsid w:val="000400E2"/>
    <w:rsid w:val="00041E0B"/>
    <w:rsid w:val="0004217F"/>
    <w:rsid w:val="0004257F"/>
    <w:rsid w:val="00060D07"/>
    <w:rsid w:val="00062E46"/>
    <w:rsid w:val="000636E4"/>
    <w:rsid w:val="000A2E58"/>
    <w:rsid w:val="000D518E"/>
    <w:rsid w:val="000E6B21"/>
    <w:rsid w:val="00117563"/>
    <w:rsid w:val="001179E3"/>
    <w:rsid w:val="0013284D"/>
    <w:rsid w:val="00134F85"/>
    <w:rsid w:val="001460B6"/>
    <w:rsid w:val="001733DD"/>
    <w:rsid w:val="001803D4"/>
    <w:rsid w:val="00184480"/>
    <w:rsid w:val="00185A96"/>
    <w:rsid w:val="001878C8"/>
    <w:rsid w:val="001961A3"/>
    <w:rsid w:val="001A2D7F"/>
    <w:rsid w:val="001A41B6"/>
    <w:rsid w:val="001D2678"/>
    <w:rsid w:val="001D6769"/>
    <w:rsid w:val="001E57F3"/>
    <w:rsid w:val="001F3EE9"/>
    <w:rsid w:val="00214612"/>
    <w:rsid w:val="00214C42"/>
    <w:rsid w:val="00253BCD"/>
    <w:rsid w:val="002939AD"/>
    <w:rsid w:val="002B1A82"/>
    <w:rsid w:val="002C4DD6"/>
    <w:rsid w:val="002F1319"/>
    <w:rsid w:val="002F1FC5"/>
    <w:rsid w:val="002F7B50"/>
    <w:rsid w:val="00312F31"/>
    <w:rsid w:val="00314AF6"/>
    <w:rsid w:val="00323987"/>
    <w:rsid w:val="00324B5C"/>
    <w:rsid w:val="003341DD"/>
    <w:rsid w:val="00337922"/>
    <w:rsid w:val="003379B8"/>
    <w:rsid w:val="00340867"/>
    <w:rsid w:val="003428E8"/>
    <w:rsid w:val="00342E19"/>
    <w:rsid w:val="00350AF8"/>
    <w:rsid w:val="00380837"/>
    <w:rsid w:val="0039011B"/>
    <w:rsid w:val="003A198A"/>
    <w:rsid w:val="003B6011"/>
    <w:rsid w:val="003C0EAA"/>
    <w:rsid w:val="003F75A7"/>
    <w:rsid w:val="004018BC"/>
    <w:rsid w:val="0040366D"/>
    <w:rsid w:val="004048AB"/>
    <w:rsid w:val="00410914"/>
    <w:rsid w:val="00411472"/>
    <w:rsid w:val="004166A6"/>
    <w:rsid w:val="004177C7"/>
    <w:rsid w:val="00432084"/>
    <w:rsid w:val="00474951"/>
    <w:rsid w:val="0048201E"/>
    <w:rsid w:val="0048627B"/>
    <w:rsid w:val="00495E86"/>
    <w:rsid w:val="004A7318"/>
    <w:rsid w:val="004B518B"/>
    <w:rsid w:val="004E5833"/>
    <w:rsid w:val="004F531B"/>
    <w:rsid w:val="00507562"/>
    <w:rsid w:val="00517D50"/>
    <w:rsid w:val="005233F8"/>
    <w:rsid w:val="005258AF"/>
    <w:rsid w:val="00530B54"/>
    <w:rsid w:val="005338D8"/>
    <w:rsid w:val="00536930"/>
    <w:rsid w:val="00541A26"/>
    <w:rsid w:val="00545123"/>
    <w:rsid w:val="00564E53"/>
    <w:rsid w:val="00576579"/>
    <w:rsid w:val="00586733"/>
    <w:rsid w:val="0059239F"/>
    <w:rsid w:val="005B387F"/>
    <w:rsid w:val="005B397E"/>
    <w:rsid w:val="005C3F0E"/>
    <w:rsid w:val="005D5659"/>
    <w:rsid w:val="005E123B"/>
    <w:rsid w:val="005F0F91"/>
    <w:rsid w:val="00600C20"/>
    <w:rsid w:val="00605A57"/>
    <w:rsid w:val="00622B08"/>
    <w:rsid w:val="00633FAE"/>
    <w:rsid w:val="00644FE2"/>
    <w:rsid w:val="00664B74"/>
    <w:rsid w:val="00665A35"/>
    <w:rsid w:val="0067640C"/>
    <w:rsid w:val="00676696"/>
    <w:rsid w:val="00683EAB"/>
    <w:rsid w:val="00694163"/>
    <w:rsid w:val="006A6273"/>
    <w:rsid w:val="006D1157"/>
    <w:rsid w:val="006E250E"/>
    <w:rsid w:val="006E678B"/>
    <w:rsid w:val="006E7B1D"/>
    <w:rsid w:val="00701156"/>
    <w:rsid w:val="007023D8"/>
    <w:rsid w:val="00704548"/>
    <w:rsid w:val="00705651"/>
    <w:rsid w:val="007076DA"/>
    <w:rsid w:val="0071190B"/>
    <w:rsid w:val="00722EA9"/>
    <w:rsid w:val="00745E88"/>
    <w:rsid w:val="00751E49"/>
    <w:rsid w:val="00774D9B"/>
    <w:rsid w:val="007757F3"/>
    <w:rsid w:val="007767F6"/>
    <w:rsid w:val="00784672"/>
    <w:rsid w:val="007B5B0C"/>
    <w:rsid w:val="007C1B48"/>
    <w:rsid w:val="007D0A41"/>
    <w:rsid w:val="007D1A4F"/>
    <w:rsid w:val="007E3B15"/>
    <w:rsid w:val="007E6AEB"/>
    <w:rsid w:val="007F0840"/>
    <w:rsid w:val="00805183"/>
    <w:rsid w:val="0081694C"/>
    <w:rsid w:val="00831D00"/>
    <w:rsid w:val="00834251"/>
    <w:rsid w:val="00855C12"/>
    <w:rsid w:val="0088292B"/>
    <w:rsid w:val="0089424A"/>
    <w:rsid w:val="008973EE"/>
    <w:rsid w:val="008D472F"/>
    <w:rsid w:val="008D50F5"/>
    <w:rsid w:val="008E16B9"/>
    <w:rsid w:val="008F3142"/>
    <w:rsid w:val="008F5E0B"/>
    <w:rsid w:val="00944B78"/>
    <w:rsid w:val="00971600"/>
    <w:rsid w:val="00972B27"/>
    <w:rsid w:val="00977549"/>
    <w:rsid w:val="00980614"/>
    <w:rsid w:val="00987C33"/>
    <w:rsid w:val="009973B4"/>
    <w:rsid w:val="009B7954"/>
    <w:rsid w:val="009C1521"/>
    <w:rsid w:val="009C28C1"/>
    <w:rsid w:val="009C5546"/>
    <w:rsid w:val="009D61F2"/>
    <w:rsid w:val="009F69A6"/>
    <w:rsid w:val="009F7EED"/>
    <w:rsid w:val="00A02C2E"/>
    <w:rsid w:val="00A1181B"/>
    <w:rsid w:val="00A20DAA"/>
    <w:rsid w:val="00A264EC"/>
    <w:rsid w:val="00A31476"/>
    <w:rsid w:val="00A33CD9"/>
    <w:rsid w:val="00A41E50"/>
    <w:rsid w:val="00A55AD9"/>
    <w:rsid w:val="00A71F43"/>
    <w:rsid w:val="00A77534"/>
    <w:rsid w:val="00A8059C"/>
    <w:rsid w:val="00A80636"/>
    <w:rsid w:val="00A92395"/>
    <w:rsid w:val="00A92751"/>
    <w:rsid w:val="00AA5E75"/>
    <w:rsid w:val="00AB5999"/>
    <w:rsid w:val="00AC2266"/>
    <w:rsid w:val="00AE0C37"/>
    <w:rsid w:val="00AF0AAB"/>
    <w:rsid w:val="00AF3FF3"/>
    <w:rsid w:val="00B106DB"/>
    <w:rsid w:val="00B23CF9"/>
    <w:rsid w:val="00B261CF"/>
    <w:rsid w:val="00B262E4"/>
    <w:rsid w:val="00B442E7"/>
    <w:rsid w:val="00B5785A"/>
    <w:rsid w:val="00B70731"/>
    <w:rsid w:val="00B76E63"/>
    <w:rsid w:val="00B815A2"/>
    <w:rsid w:val="00B84232"/>
    <w:rsid w:val="00B939D2"/>
    <w:rsid w:val="00BD2CB3"/>
    <w:rsid w:val="00BE0746"/>
    <w:rsid w:val="00BF597E"/>
    <w:rsid w:val="00C16F5B"/>
    <w:rsid w:val="00C32BF1"/>
    <w:rsid w:val="00C46C17"/>
    <w:rsid w:val="00C51A36"/>
    <w:rsid w:val="00C55228"/>
    <w:rsid w:val="00C63768"/>
    <w:rsid w:val="00C75377"/>
    <w:rsid w:val="00C755EA"/>
    <w:rsid w:val="00C811EB"/>
    <w:rsid w:val="00CD4782"/>
    <w:rsid w:val="00CE315A"/>
    <w:rsid w:val="00D06F59"/>
    <w:rsid w:val="00D0757A"/>
    <w:rsid w:val="00D07E80"/>
    <w:rsid w:val="00D57C61"/>
    <w:rsid w:val="00D6764A"/>
    <w:rsid w:val="00D8388C"/>
    <w:rsid w:val="00D85B91"/>
    <w:rsid w:val="00D91C21"/>
    <w:rsid w:val="00DC15FE"/>
    <w:rsid w:val="00DC1F17"/>
    <w:rsid w:val="00DC3660"/>
    <w:rsid w:val="00E125FA"/>
    <w:rsid w:val="00E52091"/>
    <w:rsid w:val="00E6224C"/>
    <w:rsid w:val="00E63A9A"/>
    <w:rsid w:val="00EA4E6B"/>
    <w:rsid w:val="00EB0164"/>
    <w:rsid w:val="00EB0E77"/>
    <w:rsid w:val="00ED0F62"/>
    <w:rsid w:val="00F14A90"/>
    <w:rsid w:val="00F25132"/>
    <w:rsid w:val="00F32326"/>
    <w:rsid w:val="00F7631D"/>
    <w:rsid w:val="00F85654"/>
    <w:rsid w:val="00F90514"/>
    <w:rsid w:val="00F96F71"/>
    <w:rsid w:val="00FA7405"/>
    <w:rsid w:val="00FC7FE0"/>
    <w:rsid w:val="00FE08DF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86B7A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D3C1A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753E6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B93615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06215"/>
    <w:rsid w:val="2AC8327F"/>
    <w:rsid w:val="2AD3142C"/>
    <w:rsid w:val="2B0D2F04"/>
    <w:rsid w:val="2B1D2572"/>
    <w:rsid w:val="2B206A2D"/>
    <w:rsid w:val="2B3033DF"/>
    <w:rsid w:val="2B4C1179"/>
    <w:rsid w:val="2B5D0EFC"/>
    <w:rsid w:val="2B6C36BA"/>
    <w:rsid w:val="2B7B0583"/>
    <w:rsid w:val="2BD60481"/>
    <w:rsid w:val="2BEA3FA7"/>
    <w:rsid w:val="2C2E44D4"/>
    <w:rsid w:val="2C6521D5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6778B2"/>
    <w:rsid w:val="2EB63DCC"/>
    <w:rsid w:val="2EEE512C"/>
    <w:rsid w:val="2F7C571D"/>
    <w:rsid w:val="2F8A64E6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3516F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02FCE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1F542C"/>
    <w:rsid w:val="3E342793"/>
    <w:rsid w:val="3E3C5235"/>
    <w:rsid w:val="3E830FBA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E5654"/>
    <w:rsid w:val="43175956"/>
    <w:rsid w:val="432A5E11"/>
    <w:rsid w:val="433B1167"/>
    <w:rsid w:val="4352128B"/>
    <w:rsid w:val="435F500F"/>
    <w:rsid w:val="43C730CD"/>
    <w:rsid w:val="44350F69"/>
    <w:rsid w:val="444A5D98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CC4B12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F31A16"/>
    <w:rsid w:val="4F594843"/>
    <w:rsid w:val="4F88590D"/>
    <w:rsid w:val="4FC85308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B175BE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7C26D2"/>
    <w:rsid w:val="5C8D6CFF"/>
    <w:rsid w:val="5C8F6640"/>
    <w:rsid w:val="5C966EB6"/>
    <w:rsid w:val="5CA37D44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E00AE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DB491F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327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9B6A71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6B723F"/>
    <w:rsid w:val="71790488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1A1075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432</Words>
  <Characters>2468</Characters>
  <Lines>20</Lines>
  <Paragraphs>5</Paragraphs>
  <TotalTime>0</TotalTime>
  <ScaleCrop>false</ScaleCrop>
  <LinksUpToDate>false</LinksUpToDate>
  <CharactersWithSpaces>2895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2020-07-17T10:39:00Z</dcterms:created>
  <dc:creator>微软用户</dc:creator>
  <cp:lastModifiedBy>张磊</cp:lastModifiedBy>
  <dcterms:modified xsi:type="dcterms:W3CDTF">2020-07-25T00:45:59Z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