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rPr>
            </w:pPr>
            <w:r>
              <w:rPr>
                <w:rFonts w:hint="eastAsia"/>
                <w:color w:val="auto"/>
                <w:sz w:val="24"/>
                <w:szCs w:val="24"/>
              </w:rPr>
              <w:t>过程与活动、抽样计划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gridSpan w:val="2"/>
            <w:vAlign w:val="center"/>
          </w:tcPr>
          <w:p>
            <w:pPr>
              <w:rPr>
                <w:color w:val="auto"/>
                <w:sz w:val="24"/>
                <w:szCs w:val="24"/>
              </w:rPr>
            </w:pPr>
            <w:r>
              <w:rPr>
                <w:rFonts w:hint="eastAsia"/>
                <w:color w:val="auto"/>
                <w:sz w:val="24"/>
                <w:szCs w:val="24"/>
              </w:rPr>
              <w:t>受审核部门：领导层</w:t>
            </w:r>
            <w:r>
              <w:rPr>
                <w:color w:val="auto"/>
                <w:sz w:val="24"/>
                <w:szCs w:val="24"/>
              </w:rPr>
              <w:t xml:space="preserve">    </w:t>
            </w:r>
            <w:r>
              <w:rPr>
                <w:rFonts w:hint="eastAsia"/>
                <w:color w:val="auto"/>
                <w:sz w:val="24"/>
                <w:szCs w:val="24"/>
              </w:rPr>
              <w:t xml:space="preserve">    陪同人员：万梦云</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gridSpan w:val="2"/>
            <w:vAlign w:val="center"/>
          </w:tcPr>
          <w:p>
            <w:pPr>
              <w:spacing w:before="120"/>
              <w:rPr>
                <w:color w:val="auto"/>
                <w:sz w:val="24"/>
                <w:szCs w:val="24"/>
              </w:rPr>
            </w:pPr>
            <w:r>
              <w:rPr>
                <w:rFonts w:hint="eastAsia"/>
                <w:color w:val="auto"/>
                <w:sz w:val="24"/>
                <w:szCs w:val="24"/>
              </w:rPr>
              <w:t xml:space="preserve">审核员：岳树亮 </w:t>
            </w:r>
            <w:r>
              <w:rPr>
                <w:color w:val="auto"/>
                <w:sz w:val="24"/>
                <w:szCs w:val="24"/>
              </w:rPr>
              <w:t xml:space="preserve"> </w:t>
            </w:r>
            <w:r>
              <w:rPr>
                <w:color w:val="auto"/>
                <w:szCs w:val="21"/>
              </w:rPr>
              <w:t>韦春喜</w:t>
            </w:r>
            <w:r>
              <w:rPr>
                <w:rFonts w:hint="eastAsia"/>
                <w:color w:val="auto"/>
                <w:szCs w:val="21"/>
              </w:rPr>
              <w:t xml:space="preserve"> </w:t>
            </w:r>
            <w:r>
              <w:rPr>
                <w:color w:val="auto"/>
                <w:szCs w:val="21"/>
              </w:rPr>
              <w:t xml:space="preserve"> 刘梦晗</w:t>
            </w:r>
            <w:r>
              <w:rPr>
                <w:rFonts w:hint="eastAsia"/>
                <w:color w:val="auto"/>
                <w:sz w:val="24"/>
                <w:szCs w:val="24"/>
              </w:rPr>
              <w:t xml:space="preserve">   审核日期：2020-7-</w:t>
            </w:r>
            <w:r>
              <w:rPr>
                <w:color w:val="auto"/>
                <w:sz w:val="24"/>
                <w:szCs w:val="24"/>
              </w:rPr>
              <w:t>16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gridSpan w:val="2"/>
            <w:vAlign w:val="center"/>
          </w:tcPr>
          <w:p>
            <w:pPr>
              <w:tabs>
                <w:tab w:val="left" w:pos="709"/>
              </w:tabs>
              <w:ind w:right="57"/>
              <w:jc w:val="left"/>
              <w:rPr>
                <w:rFonts w:hint="eastAsia"/>
                <w:color w:val="auto"/>
              </w:rPr>
            </w:pPr>
            <w:r>
              <w:rPr>
                <w:rFonts w:hint="eastAsia"/>
                <w:color w:val="auto"/>
                <w:sz w:val="24"/>
                <w:szCs w:val="24"/>
              </w:rPr>
              <w:t>审核条款：Q</w:t>
            </w:r>
            <w:r>
              <w:rPr>
                <w:color w:val="auto"/>
                <w:szCs w:val="21"/>
              </w:rPr>
              <w:t>：4</w:t>
            </w:r>
            <w:r>
              <w:rPr>
                <w:rFonts w:ascii="宋体" w:hAnsi="宋体" w:cs="宋体"/>
                <w:b/>
                <w:bCs/>
                <w:color w:val="auto"/>
                <w:sz w:val="18"/>
                <w:szCs w:val="18"/>
              </w:rPr>
              <w:t>.1</w:t>
            </w:r>
            <w:r>
              <w:rPr>
                <w:rFonts w:hint="eastAsia" w:ascii="宋体" w:hAnsi="宋体" w:cs="宋体"/>
                <w:b/>
                <w:bCs/>
                <w:color w:val="auto"/>
                <w:sz w:val="18"/>
                <w:szCs w:val="18"/>
              </w:rPr>
              <w:t>/</w:t>
            </w:r>
            <w:r>
              <w:rPr>
                <w:rFonts w:ascii="宋体" w:hAnsi="宋体" w:cs="宋体"/>
                <w:b/>
                <w:bCs/>
                <w:color w:val="auto"/>
                <w:sz w:val="18"/>
                <w:szCs w:val="18"/>
              </w:rPr>
              <w:t>4.2</w:t>
            </w:r>
            <w:r>
              <w:rPr>
                <w:rFonts w:hint="eastAsia" w:ascii="宋体" w:hAnsi="宋体" w:cs="宋体"/>
                <w:b/>
                <w:bCs/>
                <w:color w:val="auto"/>
                <w:sz w:val="18"/>
                <w:szCs w:val="18"/>
              </w:rPr>
              <w:t>/</w:t>
            </w:r>
            <w:r>
              <w:rPr>
                <w:rFonts w:ascii="宋体" w:hAnsi="宋体" w:cs="宋体"/>
                <w:b/>
                <w:bCs/>
                <w:color w:val="auto"/>
                <w:sz w:val="18"/>
                <w:szCs w:val="18"/>
              </w:rPr>
              <w:t>4.3</w:t>
            </w:r>
            <w:r>
              <w:rPr>
                <w:rFonts w:hint="eastAsia" w:ascii="宋体" w:hAnsi="宋体" w:cs="宋体"/>
                <w:b/>
                <w:bCs/>
                <w:color w:val="auto"/>
                <w:sz w:val="18"/>
                <w:szCs w:val="18"/>
              </w:rPr>
              <w:t>/</w:t>
            </w:r>
            <w:r>
              <w:rPr>
                <w:rFonts w:ascii="宋体" w:hAnsi="宋体" w:cs="宋体"/>
                <w:b/>
                <w:bCs/>
                <w:color w:val="auto"/>
                <w:sz w:val="18"/>
                <w:szCs w:val="18"/>
              </w:rPr>
              <w:t>4.4</w:t>
            </w:r>
            <w:r>
              <w:rPr>
                <w:rFonts w:hint="eastAsia" w:ascii="宋体" w:hAnsi="宋体" w:cs="宋体"/>
                <w:b/>
                <w:bCs/>
                <w:color w:val="auto"/>
                <w:sz w:val="18"/>
                <w:szCs w:val="18"/>
              </w:rPr>
              <w:t>/</w:t>
            </w:r>
            <w:r>
              <w:rPr>
                <w:rFonts w:ascii="宋体" w:hAnsi="宋体" w:cs="宋体"/>
                <w:b/>
                <w:bCs/>
                <w:color w:val="auto"/>
                <w:sz w:val="18"/>
                <w:szCs w:val="18"/>
              </w:rPr>
              <w:t>5.1</w:t>
            </w:r>
            <w:r>
              <w:rPr>
                <w:rFonts w:hint="eastAsia" w:ascii="宋体" w:hAnsi="宋体" w:cs="宋体"/>
                <w:b/>
                <w:bCs/>
                <w:color w:val="auto"/>
                <w:sz w:val="18"/>
                <w:szCs w:val="18"/>
              </w:rPr>
              <w:t>/</w:t>
            </w:r>
            <w:r>
              <w:rPr>
                <w:rFonts w:ascii="宋体" w:hAnsi="宋体" w:cs="宋体"/>
                <w:b/>
                <w:bCs/>
                <w:color w:val="auto"/>
                <w:sz w:val="18"/>
                <w:szCs w:val="18"/>
              </w:rPr>
              <w:t>5.2</w:t>
            </w:r>
            <w:r>
              <w:rPr>
                <w:rFonts w:hint="eastAsia" w:ascii="宋体" w:hAnsi="宋体" w:cs="宋体"/>
                <w:b/>
                <w:bCs/>
                <w:color w:val="auto"/>
                <w:sz w:val="18"/>
                <w:szCs w:val="18"/>
              </w:rPr>
              <w:t>/</w:t>
            </w:r>
            <w:r>
              <w:rPr>
                <w:rFonts w:ascii="宋体" w:hAnsi="宋体" w:cs="宋体"/>
                <w:b/>
                <w:bCs/>
                <w:color w:val="auto"/>
                <w:sz w:val="18"/>
                <w:szCs w:val="18"/>
              </w:rPr>
              <w:t>5.3</w:t>
            </w:r>
            <w:r>
              <w:rPr>
                <w:rFonts w:hint="eastAsia" w:ascii="宋体" w:hAnsi="宋体" w:cs="宋体"/>
                <w:b/>
                <w:bCs/>
                <w:color w:val="auto"/>
                <w:sz w:val="18"/>
                <w:szCs w:val="18"/>
              </w:rPr>
              <w:t>/</w:t>
            </w:r>
            <w:r>
              <w:rPr>
                <w:rFonts w:ascii="宋体" w:hAnsi="宋体" w:cs="宋体"/>
                <w:b/>
                <w:bCs/>
                <w:color w:val="auto"/>
                <w:sz w:val="18"/>
                <w:szCs w:val="18"/>
              </w:rPr>
              <w:t>6.1</w:t>
            </w:r>
            <w:r>
              <w:rPr>
                <w:rFonts w:hint="eastAsia" w:ascii="宋体" w:hAnsi="宋体" w:cs="宋体"/>
                <w:b/>
                <w:bCs/>
                <w:color w:val="auto"/>
                <w:sz w:val="18"/>
                <w:szCs w:val="18"/>
              </w:rPr>
              <w:t>/</w:t>
            </w:r>
            <w:r>
              <w:rPr>
                <w:rFonts w:ascii="宋体" w:hAnsi="宋体" w:cs="宋体"/>
                <w:b/>
                <w:bCs/>
                <w:color w:val="auto"/>
                <w:sz w:val="18"/>
                <w:szCs w:val="18"/>
              </w:rPr>
              <w:t>6.2</w:t>
            </w:r>
            <w:r>
              <w:rPr>
                <w:rFonts w:hint="eastAsia" w:ascii="宋体" w:hAnsi="宋体" w:cs="宋体"/>
                <w:b/>
                <w:bCs/>
                <w:color w:val="auto"/>
                <w:sz w:val="18"/>
                <w:szCs w:val="18"/>
              </w:rPr>
              <w:t>/</w:t>
            </w:r>
            <w:r>
              <w:rPr>
                <w:rFonts w:ascii="宋体" w:hAnsi="宋体" w:cs="宋体"/>
                <w:b/>
                <w:bCs/>
                <w:color w:val="auto"/>
                <w:sz w:val="18"/>
                <w:szCs w:val="18"/>
              </w:rPr>
              <w:t>6.3</w:t>
            </w:r>
            <w:r>
              <w:rPr>
                <w:rFonts w:hint="eastAsia" w:ascii="宋体" w:hAnsi="宋体" w:cs="宋体"/>
                <w:b/>
                <w:bCs/>
                <w:color w:val="auto"/>
                <w:sz w:val="18"/>
                <w:szCs w:val="18"/>
              </w:rPr>
              <w:t>/</w:t>
            </w:r>
            <w:r>
              <w:rPr>
                <w:rFonts w:ascii="宋体" w:hAnsi="宋体" w:cs="宋体"/>
                <w:b/>
                <w:bCs/>
                <w:color w:val="auto"/>
                <w:sz w:val="18"/>
                <w:szCs w:val="18"/>
              </w:rPr>
              <w:t>7.</w:t>
            </w:r>
            <w:r>
              <w:rPr>
                <w:rFonts w:hint="eastAsia" w:ascii="宋体" w:hAnsi="宋体" w:cs="宋体"/>
                <w:b/>
                <w:bCs/>
                <w:color w:val="auto"/>
                <w:sz w:val="18"/>
                <w:szCs w:val="18"/>
              </w:rPr>
              <w:t>1</w:t>
            </w:r>
            <w:r>
              <w:rPr>
                <w:rFonts w:ascii="宋体" w:hAnsi="宋体" w:cs="宋体"/>
                <w:b/>
                <w:bCs/>
                <w:color w:val="auto"/>
                <w:sz w:val="18"/>
                <w:szCs w:val="18"/>
              </w:rPr>
              <w:t>.1</w:t>
            </w:r>
            <w:r>
              <w:rPr>
                <w:rFonts w:hint="eastAsia" w:ascii="宋体" w:hAnsi="宋体" w:cs="宋体"/>
                <w:b/>
                <w:bCs/>
                <w:color w:val="auto"/>
                <w:sz w:val="18"/>
                <w:szCs w:val="18"/>
              </w:rPr>
              <w:t>/7.3/9.1.1/9.1.3/</w:t>
            </w:r>
            <w:r>
              <w:rPr>
                <w:rFonts w:ascii="宋体" w:hAnsi="宋体" w:cs="宋体"/>
                <w:b/>
                <w:bCs/>
                <w:color w:val="auto"/>
                <w:sz w:val="18"/>
                <w:szCs w:val="18"/>
              </w:rPr>
              <w:t>9.3</w:t>
            </w:r>
            <w:r>
              <w:rPr>
                <w:rFonts w:hint="eastAsia" w:ascii="宋体" w:hAnsi="宋体" w:cs="宋体"/>
                <w:b/>
                <w:bCs/>
                <w:color w:val="auto"/>
                <w:sz w:val="18"/>
                <w:szCs w:val="18"/>
              </w:rPr>
              <w:t>/</w:t>
            </w:r>
            <w:r>
              <w:rPr>
                <w:rFonts w:ascii="宋体" w:hAnsi="宋体" w:cs="宋体"/>
                <w:b/>
                <w:bCs/>
                <w:color w:val="auto"/>
                <w:sz w:val="18"/>
                <w:szCs w:val="18"/>
              </w:rPr>
              <w:t>10.1</w:t>
            </w:r>
            <w:r>
              <w:rPr>
                <w:rFonts w:hint="eastAsia" w:ascii="宋体" w:hAnsi="宋体" w:cs="宋体"/>
                <w:b/>
                <w:bCs/>
                <w:color w:val="auto"/>
                <w:sz w:val="18"/>
                <w:szCs w:val="18"/>
              </w:rPr>
              <w:t>/</w:t>
            </w:r>
            <w:r>
              <w:rPr>
                <w:rFonts w:ascii="宋体" w:hAnsi="宋体" w:cs="宋体"/>
                <w:b/>
                <w:bCs/>
                <w:color w:val="auto"/>
                <w:sz w:val="18"/>
                <w:szCs w:val="18"/>
              </w:rPr>
              <w:t>10.3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理解组织及其环境</w:t>
            </w:r>
          </w:p>
        </w:tc>
        <w:tc>
          <w:tcPr>
            <w:tcW w:w="960" w:type="dxa"/>
            <w:vMerge w:val="restart"/>
          </w:tcPr>
          <w:p>
            <w:pPr>
              <w:rPr>
                <w:color w:val="auto"/>
              </w:rPr>
            </w:pPr>
            <w:r>
              <w:rPr>
                <w:color w:val="auto"/>
              </w:rPr>
              <w:t xml:space="preserve">Q </w:t>
            </w:r>
            <w:r>
              <w:rPr>
                <w:rFonts w:hint="eastAsia"/>
                <w:color w:val="auto"/>
              </w:rPr>
              <w:t xml:space="preserve">4.1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如：☑《公司环境分析控制程序》、☑管理手册第4.1章</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szCs w:val="21"/>
              </w:rPr>
            </w:pPr>
            <w:r>
              <w:rPr>
                <w:rFonts w:hint="eastAsia"/>
                <w:color w:val="auto"/>
                <w:szCs w:val="21"/>
              </w:rPr>
              <w:t xml:space="preserve"> 与最高管理者沟通：</w:t>
            </w:r>
          </w:p>
          <w:p>
            <w:pPr>
              <w:rPr>
                <w:color w:val="auto"/>
                <w:szCs w:val="21"/>
              </w:rPr>
            </w:pPr>
            <w:r>
              <w:rPr>
                <w:rFonts w:hint="eastAsia"/>
                <w:color w:val="auto"/>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rPr>
                  </w:pPr>
                  <w:r>
                    <w:rPr>
                      <w:rFonts w:hint="eastAsia"/>
                      <w:color w:val="auto"/>
                    </w:rPr>
                    <w:t>外部环境</w:t>
                  </w:r>
                </w:p>
              </w:tc>
              <w:tc>
                <w:tcPr>
                  <w:tcW w:w="7147" w:type="dxa"/>
                </w:tcPr>
                <w:p>
                  <w:pPr>
                    <w:rPr>
                      <w:color w:val="auto"/>
                    </w:rPr>
                  </w:pPr>
                  <w:r>
                    <w:rPr>
                      <w:rFonts w:hint="eastAsia"/>
                      <w:color w:val="auto"/>
                    </w:rPr>
                    <w:t>☑</w:t>
                  </w:r>
                  <w:r>
                    <w:rPr>
                      <w:rFonts w:hint="eastAsia" w:ascii="宋体" w:hAnsi="宋体" w:cs="宋体"/>
                      <w:color w:val="auto"/>
                      <w:kern w:val="0"/>
                      <w:sz w:val="20"/>
                    </w:rPr>
                    <w:t>政治因素</w:t>
                  </w:r>
                  <w:r>
                    <w:rPr>
                      <w:rFonts w:hint="eastAsia"/>
                      <w:color w:val="auto"/>
                    </w:rPr>
                    <w:t xml:space="preserve"> ☑</w:t>
                  </w:r>
                  <w:r>
                    <w:rPr>
                      <w:rFonts w:hint="eastAsia" w:ascii="宋体" w:hAnsi="宋体" w:cs="宋体"/>
                      <w:color w:val="auto"/>
                      <w:kern w:val="0"/>
                      <w:sz w:val="20"/>
                    </w:rPr>
                    <w:t>经济因素</w:t>
                  </w:r>
                  <w:r>
                    <w:rPr>
                      <w:rFonts w:hint="eastAsia"/>
                      <w:color w:val="auto"/>
                    </w:rPr>
                    <w:t xml:space="preserve"> ☑</w:t>
                  </w:r>
                  <w:r>
                    <w:rPr>
                      <w:rFonts w:hint="eastAsia" w:ascii="宋体" w:hAnsi="宋体" w:cs="宋体"/>
                      <w:color w:val="auto"/>
                      <w:kern w:val="0"/>
                      <w:sz w:val="20"/>
                    </w:rPr>
                    <w:t>社会因素</w:t>
                  </w:r>
                  <w:r>
                    <w:rPr>
                      <w:rFonts w:hint="eastAsia"/>
                      <w:color w:val="auto"/>
                    </w:rPr>
                    <w:t xml:space="preserve"> ☑</w:t>
                  </w:r>
                  <w:r>
                    <w:rPr>
                      <w:rFonts w:hint="eastAsia" w:ascii="宋体" w:hAnsi="宋体" w:cs="宋体"/>
                      <w:color w:val="auto"/>
                      <w:kern w:val="0"/>
                      <w:sz w:val="20"/>
                    </w:rPr>
                    <w:t>工程</w:t>
                  </w:r>
                  <w:r>
                    <w:rPr>
                      <w:rFonts w:hint="eastAsia"/>
                      <w:color w:val="auto"/>
                    </w:rPr>
                    <w:t xml:space="preserve"> ☑</w:t>
                  </w:r>
                  <w:r>
                    <w:rPr>
                      <w:rFonts w:hint="eastAsia" w:ascii="宋体" w:hAnsi="宋体" w:cs="宋体"/>
                      <w:color w:val="auto"/>
                      <w:kern w:val="0"/>
                      <w:sz w:val="20"/>
                    </w:rPr>
                    <w:t>行业竞争对手</w:t>
                  </w:r>
                  <w:r>
                    <w:rPr>
                      <w:rFonts w:hint="eastAsia"/>
                      <w:color w:val="auto"/>
                    </w:rPr>
                    <w:t xml:space="preserve">  </w:t>
                  </w:r>
                  <w:r>
                    <w:rPr>
                      <w:rFonts w:hint="eastAsia"/>
                      <w:color w:val="auto"/>
                    </w:rPr>
                    <w:sym w:font="Wingdings" w:char="00A8"/>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rPr>
                  </w:pPr>
                  <w:r>
                    <w:rPr>
                      <w:rFonts w:hint="eastAsia"/>
                      <w:color w:val="auto"/>
                    </w:rPr>
                    <w:t>列举主要的内容</w:t>
                  </w:r>
                </w:p>
              </w:tc>
              <w:tc>
                <w:tcPr>
                  <w:tcW w:w="7147" w:type="dxa"/>
                </w:tcPr>
                <w:p>
                  <w:pPr>
                    <w:rPr>
                      <w:color w:val="auto"/>
                    </w:rPr>
                  </w:pPr>
                  <w:r>
                    <w:rPr>
                      <w:rFonts w:hint="eastAsia" w:ascii="宋体" w:hAnsi="宋体" w:cs="宋体"/>
                      <w:color w:val="auto"/>
                      <w:kern w:val="0"/>
                      <w:szCs w:val="21"/>
                    </w:rPr>
                    <w:t>材料价格提高；竞争加剧；客户的需求和期望提高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rPr>
                  </w:pPr>
                  <w:r>
                    <w:rPr>
                      <w:rFonts w:hint="eastAsia"/>
                      <w:color w:val="auto"/>
                    </w:rPr>
                    <w:t>内部环境</w:t>
                  </w:r>
                </w:p>
              </w:tc>
              <w:tc>
                <w:tcPr>
                  <w:tcW w:w="7147" w:type="dxa"/>
                </w:tcPr>
                <w:p>
                  <w:pPr>
                    <w:rPr>
                      <w:color w:val="auto"/>
                    </w:rPr>
                  </w:pPr>
                  <w:r>
                    <w:rPr>
                      <w:rFonts w:hint="eastAsia"/>
                      <w:color w:val="auto"/>
                    </w:rPr>
                    <w:t>☑</w:t>
                  </w:r>
                  <w:r>
                    <w:rPr>
                      <w:rFonts w:hint="eastAsia" w:ascii="宋体" w:hAnsi="宋体" w:cs="宋体"/>
                      <w:color w:val="auto"/>
                      <w:kern w:val="0"/>
                      <w:sz w:val="20"/>
                    </w:rPr>
                    <w:t>学习和成长</w:t>
                  </w:r>
                  <w:r>
                    <w:rPr>
                      <w:rFonts w:hint="eastAsia"/>
                      <w:color w:val="auto"/>
                    </w:rPr>
                    <w:t xml:space="preserve"> ☑</w:t>
                  </w:r>
                  <w:r>
                    <w:rPr>
                      <w:rFonts w:hint="eastAsia" w:ascii="宋体" w:hAnsi="宋体" w:cs="宋体"/>
                      <w:color w:val="auto"/>
                      <w:kern w:val="0"/>
                      <w:sz w:val="20"/>
                    </w:rPr>
                    <w:t>内部过程</w:t>
                  </w:r>
                  <w:r>
                    <w:rPr>
                      <w:rFonts w:hint="eastAsia"/>
                      <w:color w:val="auto"/>
                    </w:rPr>
                    <w:t xml:space="preserve">  ☑</w:t>
                  </w:r>
                  <w:r>
                    <w:rPr>
                      <w:rFonts w:hint="eastAsia" w:ascii="宋体" w:hAnsi="宋体" w:cs="宋体"/>
                      <w:color w:val="auto"/>
                      <w:kern w:val="0"/>
                      <w:sz w:val="20"/>
                    </w:rPr>
                    <w:t>顾客</w:t>
                  </w:r>
                  <w:r>
                    <w:rPr>
                      <w:rFonts w:hint="eastAsia"/>
                      <w:color w:val="auto"/>
                    </w:rPr>
                    <w:t xml:space="preserve"> ☑</w:t>
                  </w:r>
                  <w:r>
                    <w:rPr>
                      <w:rFonts w:hint="eastAsia" w:ascii="宋体" w:hAnsi="宋体" w:cs="宋体"/>
                      <w:color w:val="auto"/>
                      <w:kern w:val="0"/>
                      <w:sz w:val="20"/>
                    </w:rPr>
                    <w:t>财务</w:t>
                  </w:r>
                  <w:r>
                    <w:rPr>
                      <w:rFonts w:hint="eastAsia"/>
                      <w:color w:val="auto"/>
                    </w:rPr>
                    <w:t xml:space="preserve"> □</w:t>
                  </w:r>
                  <w:r>
                    <w:rPr>
                      <w:rFonts w:hint="eastAsia" w:ascii="宋体" w:hAnsi="宋体" w:cs="宋体"/>
                      <w:color w:val="auto"/>
                      <w:kern w:val="0"/>
                      <w:sz w:val="20"/>
                    </w:rPr>
                    <w:t>执行力</w:t>
                  </w:r>
                  <w:r>
                    <w:rPr>
                      <w:rFonts w:hint="eastAsia"/>
                      <w:color w:val="auto"/>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pPr>
                    <w:rPr>
                      <w:color w:val="auto"/>
                    </w:rPr>
                  </w:pPr>
                  <w:r>
                    <w:rPr>
                      <w:rFonts w:hint="eastAsia"/>
                      <w:color w:val="auto"/>
                    </w:rPr>
                    <w:t>列举主要的内容</w:t>
                  </w:r>
                </w:p>
              </w:tc>
              <w:tc>
                <w:tcPr>
                  <w:tcW w:w="7147" w:type="dxa"/>
                </w:tcPr>
                <w:p>
                  <w:pPr>
                    <w:rPr>
                      <w:color w:val="auto"/>
                    </w:rPr>
                  </w:pPr>
                  <w:r>
                    <w:rPr>
                      <w:rFonts w:hint="eastAsia" w:ascii="宋体" w:hAnsi="宋体" w:cs="宋体"/>
                      <w:color w:val="auto"/>
                      <w:kern w:val="0"/>
                      <w:szCs w:val="21"/>
                    </w:rPr>
                    <w:t>过程质量水平较去年有小幅下降，工作效率较去年基本持平；施工现场管理与去年基本持平。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szCs w:val="21"/>
                    </w:rPr>
                  </w:pPr>
                  <w:r>
                    <w:rPr>
                      <w:rFonts w:hint="eastAsia"/>
                      <w:color w:val="auto"/>
                      <w:szCs w:val="21"/>
                    </w:rPr>
                    <w:t>组织优势说明</w:t>
                  </w:r>
                </w:p>
              </w:tc>
              <w:tc>
                <w:tcPr>
                  <w:tcW w:w="7147" w:type="dxa"/>
                </w:tcPr>
                <w:p>
                  <w:pPr>
                    <w:rPr>
                      <w:color w:val="auto"/>
                      <w:szCs w:val="21"/>
                    </w:rPr>
                  </w:pPr>
                  <w:r>
                    <w:rPr>
                      <w:rFonts w:ascii="Comic Sans MS" w:hAnsi="DFKai-SB"/>
                      <w:color w:val="auto"/>
                    </w:rPr>
                    <w:t>公司</w:t>
                  </w:r>
                  <w:r>
                    <w:rPr>
                      <w:rFonts w:hint="eastAsia" w:ascii="Comic Sans MS" w:hAnsi="DFKai-SB"/>
                      <w:color w:val="auto"/>
                    </w:rPr>
                    <w:t>相关</w:t>
                  </w:r>
                  <w:r>
                    <w:rPr>
                      <w:rFonts w:ascii="Comic Sans MS" w:hAnsi="DFKai-SB"/>
                      <w:color w:val="auto"/>
                    </w:rPr>
                    <w:t>资质及设施较为齐全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szCs w:val="21"/>
                    </w:rPr>
                  </w:pPr>
                  <w:r>
                    <w:rPr>
                      <w:rFonts w:hint="eastAsia"/>
                      <w:color w:val="auto"/>
                      <w:szCs w:val="21"/>
                    </w:rPr>
                    <w:t>组织劣势说明</w:t>
                  </w:r>
                </w:p>
              </w:tc>
              <w:tc>
                <w:tcPr>
                  <w:tcW w:w="7147" w:type="dxa"/>
                </w:tcPr>
                <w:p>
                  <w:pPr>
                    <w:rPr>
                      <w:color w:val="auto"/>
                      <w:szCs w:val="21"/>
                    </w:rPr>
                  </w:pPr>
                  <w:r>
                    <w:rPr>
                      <w:rFonts w:ascii="Comic Sans MS" w:hAnsi="DFKai-SB"/>
                      <w:color w:val="auto"/>
                    </w:rPr>
                    <w:t>人员素质参差不齐，管理制度不够健全，控制方法不明确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pPr>
                    <w:rPr>
                      <w:color w:val="auto"/>
                    </w:rPr>
                  </w:pPr>
                  <w:r>
                    <w:rPr>
                      <w:rFonts w:hint="eastAsia"/>
                      <w:color w:val="auto"/>
                      <w:szCs w:val="21"/>
                    </w:rPr>
                    <w:t>主要风险的说明</w:t>
                  </w:r>
                </w:p>
              </w:tc>
              <w:tc>
                <w:tcPr>
                  <w:tcW w:w="7147" w:type="dxa"/>
                </w:tcPr>
                <w:p>
                  <w:pPr>
                    <w:widowControl/>
                    <w:jc w:val="left"/>
                    <w:rPr>
                      <w:color w:val="auto"/>
                    </w:rPr>
                  </w:pPr>
                  <w:r>
                    <w:rPr>
                      <w:rFonts w:hint="eastAsia"/>
                      <w:color w:val="auto"/>
                    </w:rPr>
                    <w:t xml:space="preserve">1.对满足市场需求的发展趋势判断失误。                 </w:t>
                  </w:r>
                </w:p>
                <w:p>
                  <w:pPr>
                    <w:widowControl/>
                    <w:jc w:val="left"/>
                    <w:rPr>
                      <w:color w:val="auto"/>
                    </w:rPr>
                  </w:pPr>
                  <w:r>
                    <w:rPr>
                      <w:rFonts w:hint="eastAsia"/>
                      <w:color w:val="auto"/>
                    </w:rPr>
                    <w:t>2.客户要求识别不完整。</w:t>
                  </w:r>
                </w:p>
                <w:p>
                  <w:pPr>
                    <w:pStyle w:val="2"/>
                    <w:rPr>
                      <w:color w:val="auto"/>
                    </w:rPr>
                  </w:pPr>
                  <w:r>
                    <w:rPr>
                      <w:rFonts w:hint="eastAsia"/>
                      <w:color w:val="auto"/>
                    </w:rPr>
                    <w:t>3</w:t>
                  </w:r>
                  <w:r>
                    <w:rPr>
                      <w:color w:val="auto"/>
                    </w:rPr>
                    <w:t>.</w:t>
                  </w:r>
                  <w:r>
                    <w:rPr>
                      <w:rFonts w:hint="eastAsia"/>
                      <w:color w:val="auto"/>
                    </w:rPr>
                    <w:t>产品质量不能满足顾客需求。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rPr>
                  </w:pPr>
                  <w:r>
                    <w:rPr>
                      <w:rFonts w:hint="eastAsia"/>
                      <w:color w:val="auto"/>
                      <w:szCs w:val="21"/>
                    </w:rPr>
                    <w:t>机遇的说明</w:t>
                  </w:r>
                </w:p>
              </w:tc>
              <w:tc>
                <w:tcPr>
                  <w:tcW w:w="7147" w:type="dxa"/>
                </w:tcPr>
                <w:p>
                  <w:pPr>
                    <w:widowControl/>
                    <w:jc w:val="left"/>
                    <w:rPr>
                      <w:color w:val="auto"/>
                    </w:rPr>
                  </w:pPr>
                  <w:r>
                    <w:rPr>
                      <w:rFonts w:ascii="Comic Sans MS" w:hAnsi="DFKai-SB"/>
                      <w:color w:val="auto"/>
                    </w:rPr>
                    <w:t>公司</w:t>
                  </w:r>
                  <w:r>
                    <w:rPr>
                      <w:rFonts w:hint="eastAsia" w:ascii="Comic Sans MS" w:hAnsi="DFKai-SB"/>
                      <w:color w:val="auto"/>
                    </w:rPr>
                    <w:t>相关</w:t>
                  </w:r>
                  <w:r>
                    <w:rPr>
                      <w:rFonts w:ascii="Comic Sans MS" w:hAnsi="DFKai-SB"/>
                      <w:color w:val="auto"/>
                    </w:rPr>
                    <w:t>资质及设施较为齐全</w:t>
                  </w:r>
                  <w:r>
                    <w:rPr>
                      <w:rFonts w:hint="eastAsia"/>
                      <w:color w:val="auto"/>
                    </w:rPr>
                    <w:t> </w:t>
                  </w:r>
                </w:p>
              </w:tc>
            </w:tr>
          </w:tbl>
          <w:p>
            <w:pPr>
              <w:rPr>
                <w:color w:val="auto"/>
                <w:szCs w:val="21"/>
              </w:rPr>
            </w:pPr>
          </w:p>
          <w:p>
            <w:pPr>
              <w:rPr>
                <w:color w:val="auto"/>
                <w:szCs w:val="21"/>
              </w:rPr>
            </w:pPr>
            <w:r>
              <w:rPr>
                <w:rFonts w:hint="eastAsia"/>
                <w:color w:val="auto"/>
                <w:szCs w:val="21"/>
              </w:rPr>
              <w:t>主要证据体现在</w:t>
            </w:r>
            <w:r>
              <w:rPr>
                <w:rFonts w:hint="eastAsia"/>
                <w:color w:val="auto"/>
              </w:rPr>
              <w:sym w:font="Wingdings" w:char="00FE"/>
            </w:r>
            <w:r>
              <w:rPr>
                <w:rFonts w:hint="eastAsia"/>
                <w:color w:val="auto"/>
              </w:rPr>
              <w:t xml:space="preserve">《组织环境风险和机遇与应对评估分析表》  </w:t>
            </w:r>
            <w:r>
              <w:rPr>
                <w:rFonts w:hint="eastAsia"/>
                <w:color w:val="auto"/>
              </w:rPr>
              <w:sym w:font="Wingdings" w:char="00A8"/>
            </w:r>
            <w:r>
              <w:rPr>
                <w:rFonts w:hint="eastAsia"/>
                <w:color w:val="auto"/>
              </w:rPr>
              <w:t>其他</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理解相关方的需求和期望</w:t>
            </w:r>
          </w:p>
        </w:tc>
        <w:tc>
          <w:tcPr>
            <w:tcW w:w="960" w:type="dxa"/>
            <w:vMerge w:val="restart"/>
          </w:tcPr>
          <w:p>
            <w:pPr>
              <w:rPr>
                <w:color w:val="auto"/>
              </w:rPr>
            </w:pPr>
            <w:r>
              <w:rPr>
                <w:color w:val="auto"/>
              </w:rPr>
              <w:t xml:space="preserve">Q </w:t>
            </w:r>
            <w:r>
              <w:rPr>
                <w:rFonts w:hint="eastAsia"/>
                <w:color w:val="auto"/>
              </w:rPr>
              <w:t xml:space="preserve">4.2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 xml:space="preserve">如： </w:t>
            </w:r>
            <w:r>
              <w:rPr>
                <w:rFonts w:ascii="Segoe UI Symbol" w:hAnsi="Segoe UI Symbol" w:cs="Segoe UI Symbol"/>
                <w:color w:val="auto"/>
              </w:rPr>
              <w:t>☑</w:t>
            </w:r>
            <w:r>
              <w:rPr>
                <w:rFonts w:hint="eastAsia"/>
                <w:color w:val="auto"/>
              </w:rPr>
              <w:t>《相关方及相关方要求清单》、□管理手册第4.2章</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szCs w:val="21"/>
              </w:rPr>
            </w:pPr>
            <w:r>
              <w:rPr>
                <w:rFonts w:hint="eastAsia"/>
                <w:color w:val="auto"/>
                <w:szCs w:val="21"/>
              </w:rPr>
              <w:t xml:space="preserve"> </w:t>
            </w:r>
          </w:p>
          <w:tbl>
            <w:tblPr>
              <w:tblStyle w:val="8"/>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23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color w:val="auto"/>
                      <w:highlight w:val="cyan"/>
                    </w:rPr>
                  </w:pPr>
                  <w:r>
                    <w:rPr>
                      <w:rFonts w:hint="eastAsia"/>
                      <w:color w:val="auto"/>
                    </w:rPr>
                    <w:t>重要的相关方</w:t>
                  </w:r>
                </w:p>
              </w:tc>
              <w:tc>
                <w:tcPr>
                  <w:tcW w:w="2495" w:type="dxa"/>
                  <w:vAlign w:val="center"/>
                </w:tcPr>
                <w:p>
                  <w:pPr>
                    <w:rPr>
                      <w:color w:val="auto"/>
                      <w:highlight w:val="cyan"/>
                    </w:rPr>
                  </w:pPr>
                  <w:r>
                    <w:rPr>
                      <w:rFonts w:hint="eastAsia"/>
                      <w:color w:val="auto"/>
                    </w:rPr>
                    <w:t>相关方名称举例</w:t>
                  </w:r>
                </w:p>
              </w:tc>
              <w:tc>
                <w:tcPr>
                  <w:tcW w:w="3237" w:type="dxa"/>
                  <w:vAlign w:val="center"/>
                </w:tcPr>
                <w:p>
                  <w:pPr>
                    <w:rPr>
                      <w:color w:val="auto"/>
                      <w:highlight w:val="cyan"/>
                    </w:rPr>
                  </w:pPr>
                  <w:r>
                    <w:rPr>
                      <w:rFonts w:hint="eastAsia"/>
                      <w:color w:val="auto"/>
                    </w:rPr>
                    <w:t>重要的相关方需求和希望（不必全选）</w:t>
                  </w:r>
                </w:p>
              </w:tc>
              <w:tc>
                <w:tcPr>
                  <w:tcW w:w="1842" w:type="dxa"/>
                </w:tcPr>
                <w:p>
                  <w:pPr>
                    <w:rPr>
                      <w:color w:val="auto"/>
                    </w:rPr>
                  </w:pPr>
                  <w:r>
                    <w:rPr>
                      <w:rFonts w:hint="eastAsia"/>
                      <w:color w:val="auto"/>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color w:val="auto"/>
                    </w:rPr>
                  </w:pPr>
                  <w:r>
                    <w:rPr>
                      <w:rFonts w:hint="eastAsia"/>
                      <w:color w:val="auto"/>
                    </w:rPr>
                    <w:t>☑主管部门</w:t>
                  </w:r>
                </w:p>
              </w:tc>
              <w:tc>
                <w:tcPr>
                  <w:tcW w:w="2495" w:type="dxa"/>
                </w:tcPr>
                <w:p>
                  <w:pPr>
                    <w:rPr>
                      <w:color w:val="auto"/>
                    </w:rPr>
                  </w:pPr>
                  <w:r>
                    <w:rPr>
                      <w:rFonts w:hint="eastAsia"/>
                      <w:color w:val="auto"/>
                    </w:rPr>
                    <w:t>安徽省住房和城乡建设厅</w:t>
                  </w:r>
                </w:p>
              </w:tc>
              <w:tc>
                <w:tcPr>
                  <w:tcW w:w="3237" w:type="dxa"/>
                </w:tcPr>
                <w:p>
                  <w:pPr>
                    <w:rPr>
                      <w:color w:val="auto"/>
                    </w:rPr>
                  </w:pPr>
                  <w:r>
                    <w:rPr>
                      <w:rFonts w:hint="eastAsia"/>
                      <w:color w:val="auto"/>
                    </w:rPr>
                    <w:t>☑遵守相关的法律法规</w:t>
                  </w:r>
                </w:p>
                <w:p>
                  <w:pPr>
                    <w:rPr>
                      <w:color w:val="auto"/>
                    </w:rPr>
                  </w:pPr>
                  <w:r>
                    <w:rPr>
                      <w:rFonts w:hint="eastAsia"/>
                      <w:color w:val="auto"/>
                    </w:rPr>
                    <w:t>☑产品质量符合标准</w:t>
                  </w:r>
                </w:p>
              </w:tc>
              <w:tc>
                <w:tcPr>
                  <w:tcW w:w="1842"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color w:val="auto"/>
                    </w:rPr>
                  </w:pPr>
                  <w:r>
                    <w:rPr>
                      <w:rFonts w:hint="eastAsia"/>
                      <w:color w:val="auto"/>
                    </w:rPr>
                    <w:t>☑供方</w:t>
                  </w:r>
                </w:p>
              </w:tc>
              <w:tc>
                <w:tcPr>
                  <w:tcW w:w="2495" w:type="dxa"/>
                </w:tcPr>
                <w:p>
                  <w:pPr>
                    <w:rPr>
                      <w:color w:val="auto"/>
                    </w:rPr>
                  </w:pPr>
                  <w:r>
                    <w:rPr>
                      <w:rFonts w:hint="eastAsia"/>
                      <w:color w:val="auto"/>
                    </w:rPr>
                    <w:t>合肥希尔凯电气有限公司</w:t>
                  </w:r>
                </w:p>
              </w:tc>
              <w:tc>
                <w:tcPr>
                  <w:tcW w:w="3237" w:type="dxa"/>
                </w:tcPr>
                <w:p>
                  <w:pPr>
                    <w:rPr>
                      <w:color w:val="auto"/>
                    </w:rPr>
                  </w:pPr>
                  <w:r>
                    <w:rPr>
                      <w:rFonts w:hint="eastAsia"/>
                      <w:color w:val="auto"/>
                    </w:rPr>
                    <w:t>☑组织的持续经营、</w:t>
                  </w:r>
                </w:p>
                <w:p>
                  <w:pPr>
                    <w:rPr>
                      <w:color w:val="auto"/>
                    </w:rPr>
                  </w:pPr>
                  <w:r>
                    <w:rPr>
                      <w:rFonts w:hint="eastAsia"/>
                      <w:color w:val="auto"/>
                    </w:rPr>
                    <w:t>☑明示采购的质量要求</w:t>
                  </w:r>
                </w:p>
              </w:tc>
              <w:tc>
                <w:tcPr>
                  <w:tcW w:w="1842"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vAlign w:val="center"/>
                </w:tcPr>
                <w:p>
                  <w:pPr>
                    <w:rPr>
                      <w:color w:val="auto"/>
                    </w:rPr>
                  </w:pPr>
                  <w:r>
                    <w:rPr>
                      <w:rFonts w:hint="eastAsia"/>
                      <w:color w:val="auto"/>
                    </w:rPr>
                    <w:t>☑顾客</w:t>
                  </w:r>
                </w:p>
              </w:tc>
              <w:tc>
                <w:tcPr>
                  <w:tcW w:w="2495" w:type="dxa"/>
                </w:tcPr>
                <w:p>
                  <w:pPr>
                    <w:rPr>
                      <w:color w:val="auto"/>
                    </w:rPr>
                  </w:pPr>
                  <w:r>
                    <w:rPr>
                      <w:rFonts w:hint="eastAsia" w:ascii="宋体" w:hAnsi="宋体"/>
                      <w:color w:val="auto"/>
                      <w:szCs w:val="21"/>
                    </w:rPr>
                    <w:t>肥西县紫蓬山旅游开发区管委会</w:t>
                  </w:r>
                </w:p>
              </w:tc>
              <w:tc>
                <w:tcPr>
                  <w:tcW w:w="3237" w:type="dxa"/>
                </w:tcPr>
                <w:p>
                  <w:pPr>
                    <w:ind w:left="210" w:hanging="210" w:hangingChars="100"/>
                    <w:rPr>
                      <w:color w:val="auto"/>
                    </w:rPr>
                  </w:pPr>
                  <w:r>
                    <w:rPr>
                      <w:rFonts w:hint="eastAsia"/>
                      <w:color w:val="auto"/>
                    </w:rPr>
                    <w:t>☑按时、按质、按量交付产品或服务</w:t>
                  </w:r>
                </w:p>
              </w:tc>
              <w:tc>
                <w:tcPr>
                  <w:tcW w:w="1842"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color w:val="auto"/>
                      <w:szCs w:val="24"/>
                    </w:rPr>
                  </w:pPr>
                  <w:r>
                    <w:rPr>
                      <w:rFonts w:hint="eastAsia"/>
                      <w:color w:val="auto"/>
                    </w:rPr>
                    <w:t>☑员工</w:t>
                  </w:r>
                </w:p>
              </w:tc>
              <w:tc>
                <w:tcPr>
                  <w:tcW w:w="2495" w:type="dxa"/>
                </w:tcPr>
                <w:p>
                  <w:pPr>
                    <w:rPr>
                      <w:color w:val="auto"/>
                      <w:szCs w:val="24"/>
                    </w:rPr>
                  </w:pPr>
                  <w:r>
                    <w:rPr>
                      <w:rFonts w:hint="eastAsia"/>
                      <w:color w:val="auto"/>
                      <w:szCs w:val="24"/>
                    </w:rPr>
                    <w:t>——</w:t>
                  </w:r>
                </w:p>
              </w:tc>
              <w:tc>
                <w:tcPr>
                  <w:tcW w:w="3237" w:type="dxa"/>
                </w:tcPr>
                <w:p>
                  <w:pPr>
                    <w:rPr>
                      <w:color w:val="auto"/>
                    </w:rPr>
                  </w:pPr>
                  <w:r>
                    <w:rPr>
                      <w:rFonts w:hint="eastAsia"/>
                      <w:color w:val="auto"/>
                    </w:rPr>
                    <w:t>☑组织的持续经营</w:t>
                  </w:r>
                </w:p>
              </w:tc>
              <w:tc>
                <w:tcPr>
                  <w:tcW w:w="1842"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color w:val="auto"/>
                    </w:rPr>
                  </w:pPr>
                  <w:r>
                    <w:rPr>
                      <w:rFonts w:hint="eastAsia"/>
                      <w:color w:val="auto"/>
                    </w:rPr>
                    <w:t>☑审核机构</w:t>
                  </w:r>
                </w:p>
              </w:tc>
              <w:tc>
                <w:tcPr>
                  <w:tcW w:w="2495" w:type="dxa"/>
                  <w:vAlign w:val="center"/>
                </w:tcPr>
                <w:p>
                  <w:pPr>
                    <w:rPr>
                      <w:color w:val="auto"/>
                    </w:rPr>
                  </w:pPr>
                  <w:r>
                    <w:rPr>
                      <w:rFonts w:hint="eastAsia"/>
                      <w:color w:val="auto"/>
                    </w:rPr>
                    <w:t>认证机构</w:t>
                  </w:r>
                </w:p>
              </w:tc>
              <w:tc>
                <w:tcPr>
                  <w:tcW w:w="3237" w:type="dxa"/>
                </w:tcPr>
                <w:p>
                  <w:pPr>
                    <w:rPr>
                      <w:color w:val="auto"/>
                    </w:rPr>
                  </w:pPr>
                  <w:r>
                    <w:rPr>
                      <w:rFonts w:hint="eastAsia"/>
                      <w:color w:val="auto"/>
                    </w:rPr>
                    <w:t>☑</w:t>
                  </w:r>
                  <w:r>
                    <w:rPr>
                      <w:rFonts w:hint="eastAsia" w:ascii="宋体" w:hAnsi="宋体" w:cs="宋体"/>
                      <w:color w:val="auto"/>
                      <w:kern w:val="0"/>
                      <w:szCs w:val="21"/>
                    </w:rPr>
                    <w:t>公司体系运作的有效性、充分性和符合性</w:t>
                  </w:r>
                </w:p>
              </w:tc>
              <w:tc>
                <w:tcPr>
                  <w:tcW w:w="1842" w:type="dxa"/>
                  <w:vAlign w:val="center"/>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□其他</w:t>
                  </w:r>
                </w:p>
              </w:tc>
              <w:tc>
                <w:tcPr>
                  <w:tcW w:w="2495" w:type="dxa"/>
                </w:tcPr>
                <w:p>
                  <w:pPr>
                    <w:rPr>
                      <w:color w:val="auto"/>
                    </w:rPr>
                  </w:pPr>
                </w:p>
              </w:tc>
              <w:tc>
                <w:tcPr>
                  <w:tcW w:w="3237" w:type="dxa"/>
                </w:tcPr>
                <w:p>
                  <w:pPr>
                    <w:rPr>
                      <w:color w:val="auto"/>
                    </w:rPr>
                  </w:pPr>
                </w:p>
              </w:tc>
              <w:tc>
                <w:tcPr>
                  <w:tcW w:w="1842" w:type="dxa"/>
                </w:tcPr>
                <w:p>
                  <w:pPr>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bl>
          <w:p>
            <w:pPr>
              <w:rPr>
                <w:color w:val="auto"/>
                <w:szCs w:val="21"/>
              </w:rPr>
            </w:pPr>
          </w:p>
          <w:p>
            <w:pPr>
              <w:rPr>
                <w:color w:val="auto"/>
              </w:rPr>
            </w:pPr>
            <w:r>
              <w:rPr>
                <w:rFonts w:hint="eastAsia"/>
                <w:color w:val="auto"/>
                <w:szCs w:val="21"/>
              </w:rPr>
              <w:t>主要证据体现在</w:t>
            </w:r>
            <w:r>
              <w:rPr>
                <w:rFonts w:hint="eastAsia"/>
                <w:color w:val="auto"/>
              </w:rPr>
              <w:t xml:space="preserve"> </w:t>
            </w:r>
            <w:r>
              <w:rPr>
                <w:rFonts w:hint="eastAsia"/>
                <w:color w:val="auto"/>
              </w:rPr>
              <w:sym w:font="Wingdings" w:char="00FE"/>
            </w:r>
            <w:r>
              <w:rPr>
                <w:rFonts w:hint="eastAsia"/>
                <w:color w:val="auto"/>
              </w:rPr>
              <w:t xml:space="preserve">《相关方的需求和期望清单》  </w:t>
            </w:r>
            <w:r>
              <w:rPr>
                <w:rFonts w:hint="eastAsia"/>
                <w:color w:val="auto"/>
              </w:rPr>
              <w:sym w:font="Wingdings" w:char="00A8"/>
            </w:r>
            <w:r>
              <w:rPr>
                <w:rFonts w:hint="eastAsia"/>
                <w:color w:val="auto"/>
              </w:rPr>
              <w:t xml:space="preserve">《年度业务计划》 </w:t>
            </w:r>
            <w:r>
              <w:rPr>
                <w:rFonts w:hint="eastAsia"/>
                <w:color w:val="auto"/>
              </w:rPr>
              <w:sym w:font="Wingdings" w:char="00A8"/>
            </w:r>
            <w:r>
              <w:rPr>
                <w:rFonts w:hint="eastAsia"/>
                <w:color w:val="auto"/>
              </w:rPr>
              <w:t>其他</w:t>
            </w:r>
          </w:p>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确定质量管理体系的范围</w:t>
            </w:r>
          </w:p>
        </w:tc>
        <w:tc>
          <w:tcPr>
            <w:tcW w:w="960" w:type="dxa"/>
            <w:vMerge w:val="restart"/>
          </w:tcPr>
          <w:p>
            <w:pPr>
              <w:rPr>
                <w:color w:val="auto"/>
              </w:rPr>
            </w:pPr>
            <w:r>
              <w:rPr>
                <w:color w:val="auto"/>
              </w:rPr>
              <w:t xml:space="preserve">Q </w:t>
            </w:r>
            <w:r>
              <w:rPr>
                <w:rFonts w:hint="eastAsia"/>
                <w:color w:val="auto"/>
              </w:rPr>
              <w:t>4.3</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 xml:space="preserve">如： </w:t>
            </w:r>
            <w:r>
              <w:rPr>
                <w:rFonts w:ascii="Segoe UI Symbol" w:hAnsi="Segoe UI Symbol" w:cs="Segoe UI Symbol"/>
                <w:color w:val="auto"/>
              </w:rPr>
              <w:t>☑</w:t>
            </w:r>
            <w:r>
              <w:rPr>
                <w:rFonts w:hint="eastAsia" w:ascii="宋体" w:hAnsi="宋体" w:cs="宋体"/>
                <w:color w:val="auto"/>
              </w:rPr>
              <w:t>“公司介绍”</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组织应明确相关管理体系的范围；</w:t>
            </w:r>
          </w:p>
          <w:tbl>
            <w:tblPr>
              <w:tblStyle w:val="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601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jc w:val="center"/>
                    <w:rPr>
                      <w:color w:val="auto"/>
                    </w:rPr>
                  </w:pPr>
                  <w:r>
                    <w:rPr>
                      <w:rFonts w:hint="eastAsia"/>
                      <w:color w:val="auto"/>
                    </w:rPr>
                    <w:t>范围的项目</w:t>
                  </w:r>
                </w:p>
              </w:tc>
              <w:tc>
                <w:tcPr>
                  <w:tcW w:w="6010" w:type="dxa"/>
                </w:tcPr>
                <w:p>
                  <w:pPr>
                    <w:jc w:val="center"/>
                    <w:rPr>
                      <w:color w:val="auto"/>
                    </w:rPr>
                  </w:pPr>
                  <w:r>
                    <w:rPr>
                      <w:rFonts w:hint="eastAsia"/>
                      <w:color w:val="auto"/>
                    </w:rPr>
                    <w:t>内容描述</w:t>
                  </w:r>
                </w:p>
              </w:tc>
              <w:tc>
                <w:tcPr>
                  <w:tcW w:w="1122" w:type="dxa"/>
                </w:tcPr>
                <w:p>
                  <w:pPr>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rPr>
                  </w:pPr>
                  <w:r>
                    <w:rPr>
                      <w:rFonts w:hint="eastAsia"/>
                      <w:color w:val="auto"/>
                    </w:rPr>
                    <w:t>产品/服务的活动</w:t>
                  </w:r>
                </w:p>
              </w:tc>
              <w:tc>
                <w:tcPr>
                  <w:tcW w:w="6010" w:type="dxa"/>
                </w:tcPr>
                <w:p>
                  <w:pPr>
                    <w:rPr>
                      <w:color w:val="auto"/>
                      <w:sz w:val="20"/>
                    </w:rPr>
                  </w:pPr>
                  <w:r>
                    <w:rPr>
                      <w:color w:val="auto"/>
                      <w:sz w:val="20"/>
                    </w:rPr>
                    <w:t>许可范围内电力设施的承装（修、试）</w:t>
                  </w:r>
                </w:p>
              </w:tc>
              <w:tc>
                <w:tcPr>
                  <w:tcW w:w="112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rPr>
                  </w:pPr>
                  <w:r>
                    <w:rPr>
                      <w:rFonts w:hint="eastAsia"/>
                      <w:color w:val="auto"/>
                    </w:rPr>
                    <w:t>注册地址</w:t>
                  </w:r>
                </w:p>
              </w:tc>
              <w:tc>
                <w:tcPr>
                  <w:tcW w:w="6010" w:type="dxa"/>
                </w:tcPr>
                <w:p>
                  <w:pPr>
                    <w:rPr>
                      <w:color w:val="auto"/>
                    </w:rPr>
                  </w:pPr>
                  <w:bookmarkStart w:id="0" w:name="生产地址"/>
                  <w:r>
                    <w:rPr>
                      <w:rFonts w:asciiTheme="minorEastAsia" w:hAnsiTheme="minorEastAsia" w:eastAsiaTheme="minorEastAsia"/>
                      <w:color w:val="auto"/>
                      <w:sz w:val="20"/>
                    </w:rPr>
                    <w:t>安徽省合肥市肥西县上派镇金寨南路与站前路交口名邦西城国际1409室</w:t>
                  </w:r>
                  <w:bookmarkEnd w:id="0"/>
                </w:p>
              </w:tc>
              <w:tc>
                <w:tcPr>
                  <w:tcW w:w="112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rPr>
                  </w:pPr>
                  <w:r>
                    <w:rPr>
                      <w:rFonts w:hint="eastAsia"/>
                      <w:color w:val="auto"/>
                    </w:rPr>
                    <w:t>经营地址</w:t>
                  </w:r>
                </w:p>
              </w:tc>
              <w:tc>
                <w:tcPr>
                  <w:tcW w:w="6010" w:type="dxa"/>
                </w:tcPr>
                <w:p>
                  <w:pPr>
                    <w:rPr>
                      <w:color w:val="auto"/>
                    </w:rPr>
                  </w:pPr>
                  <w:r>
                    <w:rPr>
                      <w:rFonts w:asciiTheme="minorEastAsia" w:hAnsiTheme="minorEastAsia" w:eastAsiaTheme="minorEastAsia"/>
                      <w:color w:val="auto"/>
                      <w:sz w:val="20"/>
                    </w:rPr>
                    <w:t>安徽省合肥市肥西县上派镇金寨南路与站前路交口名邦西城国际1409室</w:t>
                  </w:r>
                  <w:r>
                    <w:rPr>
                      <w:rFonts w:hint="eastAsia" w:ascii="宋体" w:hAnsi="宋体"/>
                      <w:color w:val="auto"/>
                    </w:rPr>
                    <w:t>。</w:t>
                  </w:r>
                </w:p>
              </w:tc>
              <w:tc>
                <w:tcPr>
                  <w:tcW w:w="112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rPr>
                  </w:pPr>
                  <w:r>
                    <w:rPr>
                      <w:rFonts w:hint="eastAsia"/>
                      <w:color w:val="auto"/>
                    </w:rPr>
                    <w:t>组织单元（部门/分支）</w:t>
                  </w:r>
                </w:p>
              </w:tc>
              <w:tc>
                <w:tcPr>
                  <w:tcW w:w="6010" w:type="dxa"/>
                </w:tcPr>
                <w:p>
                  <w:pPr>
                    <w:rPr>
                      <w:color w:val="auto"/>
                    </w:rPr>
                  </w:pPr>
                  <w:r>
                    <w:rPr>
                      <w:rFonts w:hint="eastAsia"/>
                      <w:color w:val="auto"/>
                    </w:rPr>
                    <w:sym w:font="Wingdings" w:char="00FE"/>
                  </w:r>
                  <w:r>
                    <w:rPr>
                      <w:rFonts w:hint="eastAsia"/>
                      <w:color w:val="auto"/>
                    </w:rPr>
                    <w:t>与组织结构图一致</w:t>
                  </w:r>
                </w:p>
                <w:p>
                  <w:pPr>
                    <w:rPr>
                      <w:color w:val="auto"/>
                      <w:u w:val="single"/>
                    </w:rPr>
                  </w:pPr>
                  <w:r>
                    <w:rPr>
                      <w:rFonts w:hint="eastAsia"/>
                      <w:color w:val="auto"/>
                    </w:rPr>
                    <w:sym w:font="Wingdings" w:char="00A8"/>
                  </w:r>
                  <w:r>
                    <w:rPr>
                      <w:rFonts w:hint="eastAsia"/>
                      <w:color w:val="auto"/>
                    </w:rPr>
                    <w:t xml:space="preserve">分支机构，如： </w:t>
                  </w:r>
                  <w:r>
                    <w:rPr>
                      <w:rFonts w:hint="eastAsia"/>
                      <w:color w:val="auto"/>
                      <w:u w:val="single"/>
                    </w:rPr>
                    <w:t xml:space="preserve">                  </w:t>
                  </w:r>
                </w:p>
                <w:p>
                  <w:pPr>
                    <w:rPr>
                      <w:color w:val="auto"/>
                    </w:rPr>
                  </w:pPr>
                  <w:r>
                    <w:rPr>
                      <w:rFonts w:hint="eastAsia"/>
                      <w:color w:val="auto"/>
                    </w:rPr>
                    <w:sym w:font="Wingdings" w:char="00FE"/>
                  </w:r>
                  <w:r>
                    <w:rPr>
                      <w:rFonts w:hint="eastAsia"/>
                      <w:color w:val="auto"/>
                    </w:rPr>
                    <w:t>临时场所，如：</w:t>
                  </w:r>
                  <w:r>
                    <w:rPr>
                      <w:rFonts w:hint="eastAsia"/>
                      <w:color w:val="auto"/>
                      <w:u w:val="single"/>
                    </w:rPr>
                    <w:t xml:space="preserve"> 合肥肥西蓬莱路油气电合建站高压供电安装 </w:t>
                  </w:r>
                </w:p>
              </w:tc>
              <w:tc>
                <w:tcPr>
                  <w:tcW w:w="112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color w:val="auto"/>
                    </w:rPr>
                  </w:pPr>
                  <w:r>
                    <w:rPr>
                      <w:rFonts w:hint="eastAsia"/>
                      <w:color w:val="auto"/>
                    </w:rPr>
                    <w:t>时间</w:t>
                  </w:r>
                </w:p>
              </w:tc>
              <w:tc>
                <w:tcPr>
                  <w:tcW w:w="6010" w:type="dxa"/>
                </w:tcPr>
                <w:p>
                  <w:pPr>
                    <w:rPr>
                      <w:color w:val="auto"/>
                    </w:rPr>
                  </w:pPr>
                  <w:r>
                    <w:rPr>
                      <w:rFonts w:hint="eastAsia"/>
                      <w:color w:val="auto"/>
                    </w:rPr>
                    <w:sym w:font="Wingdings" w:char="00FE"/>
                  </w:r>
                  <w:r>
                    <w:rPr>
                      <w:rFonts w:hint="eastAsia"/>
                      <w:color w:val="auto"/>
                    </w:rPr>
                    <w:t xml:space="preserve"> 体系建立以来</w:t>
                  </w:r>
                </w:p>
                <w:p>
                  <w:pPr>
                    <w:rPr>
                      <w:color w:val="auto"/>
                    </w:rPr>
                  </w:pPr>
                  <w:r>
                    <w:rPr>
                      <w:rFonts w:hint="eastAsia"/>
                      <w:color w:val="auto"/>
                    </w:rPr>
                    <w:sym w:font="Wingdings" w:char="00A8"/>
                  </w:r>
                  <w:r>
                    <w:rPr>
                      <w:rFonts w:hint="eastAsia"/>
                      <w:color w:val="auto"/>
                    </w:rPr>
                    <w:t xml:space="preserve"> 近一年</w:t>
                  </w:r>
                </w:p>
              </w:tc>
              <w:tc>
                <w:tcPr>
                  <w:tcW w:w="1122" w:type="dxa"/>
                </w:tcPr>
                <w:p>
                  <w:pPr>
                    <w:rPr>
                      <w:color w:val="auto"/>
                    </w:rPr>
                  </w:pPr>
                </w:p>
              </w:tc>
            </w:tr>
          </w:tbl>
          <w:p>
            <w:pPr>
              <w:rPr>
                <w:color w:val="auto"/>
              </w:rPr>
            </w:pPr>
          </w:p>
          <w:p>
            <w:pPr>
              <w:rPr>
                <w:color w:val="auto"/>
                <w:szCs w:val="21"/>
              </w:rPr>
            </w:pPr>
            <w:r>
              <w:rPr>
                <w:rFonts w:hint="eastAsia"/>
                <w:color w:val="auto"/>
                <w:szCs w:val="21"/>
              </w:rPr>
              <w:t>在企业的管理手册中有描述。</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质量管理及其过程体系</w:t>
            </w:r>
          </w:p>
        </w:tc>
        <w:tc>
          <w:tcPr>
            <w:tcW w:w="960" w:type="dxa"/>
            <w:vMerge w:val="restart"/>
          </w:tcPr>
          <w:p>
            <w:pPr>
              <w:rPr>
                <w:color w:val="auto"/>
              </w:rPr>
            </w:pPr>
            <w:r>
              <w:rPr>
                <w:color w:val="auto"/>
              </w:rPr>
              <w:t xml:space="preserve">Q </w:t>
            </w:r>
            <w:r>
              <w:rPr>
                <w:rFonts w:hint="eastAsia"/>
                <w:color w:val="auto"/>
              </w:rPr>
              <w:t xml:space="preserve">4.4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如：☑管理手册第4.4章和□《过程清单》</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spacing w:before="40" w:after="40"/>
              <w:rPr>
                <w:color w:val="auto"/>
                <w:lang w:val="en-GB"/>
              </w:rPr>
            </w:pPr>
            <w:r>
              <w:rPr>
                <w:rFonts w:hint="eastAsia"/>
                <w:color w:val="auto"/>
              </w:rPr>
              <w:t>组织考虑了内外部问题和相关方期望对质量管理体系的过程进行了确认，对输入、输出、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color w:val="auto"/>
              </w:rPr>
            </w:pP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rPr>
              <w:t xml:space="preserve">☑消防安全控制 □污染物排放控制 ☑人员能力管理 </w:t>
            </w:r>
            <w:r>
              <w:rPr>
                <w:color w:val="auto"/>
              </w:rPr>
              <w:t xml:space="preserve"> </w:t>
            </w:r>
            <w:r>
              <w:rPr>
                <w:rFonts w:hint="eastAsia"/>
                <w:color w:val="auto"/>
              </w:rPr>
              <w:t xml:space="preserve">□放射线探伤 </w:t>
            </w:r>
            <w:r>
              <w:rPr>
                <w:color w:val="auto"/>
              </w:rPr>
              <w:t xml:space="preserve"> </w:t>
            </w:r>
            <w:r>
              <w:rPr>
                <w:rFonts w:hint="eastAsia"/>
                <w:color w:val="auto"/>
              </w:rPr>
              <w:t>□其他</w:t>
            </w:r>
          </w:p>
          <w:p>
            <w:pPr>
              <w:pStyle w:val="2"/>
              <w:rPr>
                <w:color w:val="auto"/>
              </w:rPr>
            </w:pP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□建筑施工 □危化品贮存 □XXX加工过程 □放射线探伤 □设备维修 □人员培训 □其他</w:t>
            </w:r>
          </w:p>
          <w:p>
            <w:pPr>
              <w:pStyle w:val="2"/>
              <w:rPr>
                <w:color w:val="auto"/>
              </w:rPr>
            </w:pPr>
          </w:p>
          <w:p>
            <w:pPr>
              <w:rPr>
                <w:color w:val="auto"/>
                <w:highlight w:val="cyan"/>
              </w:rPr>
            </w:pPr>
            <w:r>
              <w:rPr>
                <w:rFonts w:hint="eastAsia"/>
                <w:color w:val="auto"/>
                <w:lang w:val="en-GB"/>
              </w:rPr>
              <w:t>组织通过</w:t>
            </w:r>
            <w:r>
              <w:rPr>
                <w:rFonts w:hint="eastAsia"/>
                <w:color w:val="auto"/>
              </w:rPr>
              <w:t>质量目标</w:t>
            </w:r>
            <w:r>
              <w:rPr>
                <w:rFonts w:hint="eastAsia"/>
                <w:color w:val="auto"/>
                <w:lang w:val="en-GB"/>
              </w:rPr>
              <w:t>的建立、实施、</w:t>
            </w:r>
            <w:r>
              <w:rPr>
                <w:rFonts w:hint="eastAsia"/>
                <w:color w:val="auto"/>
              </w:rPr>
              <w:t>相关方反馈</w:t>
            </w:r>
            <w:r>
              <w:rPr>
                <w:rFonts w:hint="eastAsia"/>
                <w:color w:val="auto"/>
                <w:lang w:val="en-GB"/>
              </w:rPr>
              <w:t>的</w:t>
            </w:r>
            <w:r>
              <w:rPr>
                <w:rFonts w:hint="eastAsia"/>
                <w:color w:val="auto"/>
              </w:rPr>
              <w:t>分析</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领导作用与承诺</w:t>
            </w:r>
          </w:p>
        </w:tc>
        <w:tc>
          <w:tcPr>
            <w:tcW w:w="960" w:type="dxa"/>
            <w:vMerge w:val="restart"/>
          </w:tcPr>
          <w:p>
            <w:pPr>
              <w:rPr>
                <w:color w:val="auto"/>
              </w:rPr>
            </w:pPr>
            <w:r>
              <w:rPr>
                <w:color w:val="auto"/>
              </w:rPr>
              <w:t xml:space="preserve">Q </w:t>
            </w:r>
            <w:r>
              <w:rPr>
                <w:rFonts w:hint="eastAsia"/>
                <w:color w:val="auto"/>
              </w:rPr>
              <w:t>5.1  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如：管理手册第5.1章和“总经理岗位职责”</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szCs w:val="21"/>
              </w:rPr>
            </w:pPr>
            <w:r>
              <w:rPr>
                <w:rFonts w:hint="eastAsia"/>
                <w:color w:val="auto"/>
                <w:szCs w:val="21"/>
              </w:rPr>
              <w:t>与最高管理者沟通其领导作用与承诺：</w:t>
            </w:r>
          </w:p>
          <w:p>
            <w:pPr>
              <w:rPr>
                <w:color w:val="auto"/>
                <w:szCs w:val="21"/>
              </w:rPr>
            </w:pPr>
            <w:r>
              <w:rPr>
                <w:rFonts w:hint="eastAsia"/>
                <w:color w:val="auto"/>
                <w:szCs w:val="21"/>
              </w:rPr>
              <w:sym w:font="Wingdings" w:char="00FE"/>
            </w:r>
            <w:r>
              <w:rPr>
                <w:rFonts w:hint="eastAsia"/>
                <w:color w:val="auto"/>
                <w:szCs w:val="21"/>
              </w:rPr>
              <w:t xml:space="preserve">对质量管理体系的有效性承担责任； </w:t>
            </w:r>
          </w:p>
          <w:p>
            <w:pPr>
              <w:rPr>
                <w:color w:val="auto"/>
                <w:szCs w:val="21"/>
              </w:rPr>
            </w:pPr>
            <w:r>
              <w:rPr>
                <w:rFonts w:hint="eastAsia"/>
                <w:color w:val="auto"/>
                <w:szCs w:val="21"/>
              </w:rPr>
              <w:sym w:font="Wingdings" w:char="00FE"/>
            </w:r>
            <w:r>
              <w:rPr>
                <w:rFonts w:hint="eastAsia" w:ascii="宋体" w:hAnsi="宋体" w:cs="宋体"/>
                <w:color w:val="auto"/>
                <w:szCs w:val="24"/>
              </w:rPr>
              <w:t>确保制定质量方针和质量目标，并与组织环境和战略方向相一致；</w:t>
            </w:r>
            <w:r>
              <w:rPr>
                <w:rFonts w:hint="eastAsia"/>
                <w:color w:val="auto"/>
                <w:szCs w:val="21"/>
              </w:rPr>
              <w:t xml:space="preserve"> </w:t>
            </w:r>
          </w:p>
          <w:p>
            <w:pPr>
              <w:rPr>
                <w:color w:val="auto"/>
                <w:szCs w:val="21"/>
              </w:rPr>
            </w:pPr>
            <w:r>
              <w:rPr>
                <w:rFonts w:hint="eastAsia"/>
                <w:color w:val="auto"/>
                <w:szCs w:val="21"/>
              </w:rPr>
              <w:sym w:font="Wingdings" w:char="00FE"/>
            </w:r>
            <w:r>
              <w:rPr>
                <w:rFonts w:hint="eastAsia" w:ascii="宋体" w:hAnsi="宋体" w:cs="宋体"/>
                <w:color w:val="auto"/>
                <w:szCs w:val="24"/>
              </w:rPr>
              <w:t>确保质量管理体系要求融入与组织的业务过程；</w:t>
            </w:r>
            <w:r>
              <w:rPr>
                <w:rFonts w:hint="eastAsia"/>
                <w:color w:val="auto"/>
                <w:szCs w:val="21"/>
              </w:rPr>
              <w:t xml:space="preserve"> </w:t>
            </w:r>
          </w:p>
          <w:p>
            <w:pPr>
              <w:rPr>
                <w:color w:val="auto"/>
                <w:szCs w:val="21"/>
              </w:rPr>
            </w:pPr>
            <w:r>
              <w:rPr>
                <w:rFonts w:hint="eastAsia"/>
                <w:color w:val="auto"/>
                <w:szCs w:val="21"/>
              </w:rPr>
              <w:sym w:font="Wingdings" w:char="00FE"/>
            </w:r>
            <w:r>
              <w:rPr>
                <w:rFonts w:hint="eastAsia" w:ascii="宋体" w:hAnsi="宋体" w:cs="宋体"/>
                <w:color w:val="auto"/>
                <w:szCs w:val="24"/>
              </w:rPr>
              <w:t>促进使用过程方法和基于风险的思维；</w:t>
            </w:r>
            <w:r>
              <w:rPr>
                <w:rFonts w:hint="eastAsia"/>
                <w:color w:val="auto"/>
                <w:szCs w:val="21"/>
              </w:rPr>
              <w:t xml:space="preserve"> </w:t>
            </w:r>
          </w:p>
          <w:p>
            <w:pPr>
              <w:rPr>
                <w:color w:val="auto"/>
                <w:szCs w:val="21"/>
              </w:rPr>
            </w:pPr>
            <w:r>
              <w:rPr>
                <w:rFonts w:hint="eastAsia"/>
                <w:color w:val="auto"/>
                <w:szCs w:val="21"/>
              </w:rPr>
              <w:sym w:font="Wingdings" w:char="00FE"/>
            </w:r>
            <w:r>
              <w:rPr>
                <w:rFonts w:hint="eastAsia" w:ascii="宋体" w:hAnsi="宋体" w:cs="宋体"/>
                <w:color w:val="auto"/>
                <w:szCs w:val="24"/>
              </w:rPr>
              <w:t>确保获得质量管理体系所需的资源；</w:t>
            </w:r>
          </w:p>
          <w:p>
            <w:pPr>
              <w:ind w:left="210" w:hanging="210" w:hangingChars="100"/>
              <w:rPr>
                <w:rFonts w:ascii="宋体" w:hAnsi="宋体" w:cs="宋体"/>
                <w:color w:val="auto"/>
                <w:szCs w:val="24"/>
              </w:rPr>
            </w:pPr>
            <w:r>
              <w:rPr>
                <w:rFonts w:hint="eastAsia"/>
                <w:color w:val="auto"/>
                <w:szCs w:val="21"/>
              </w:rPr>
              <w:sym w:font="Wingdings" w:char="00FE"/>
            </w:r>
            <w:r>
              <w:rPr>
                <w:rFonts w:hint="eastAsia" w:ascii="宋体" w:hAnsi="宋体" w:cs="宋体"/>
                <w:color w:val="auto"/>
                <w:szCs w:val="24"/>
              </w:rPr>
              <w:t>沟通有效的质量管理 和符合质量管理体系要求的重要性；</w:t>
            </w:r>
          </w:p>
          <w:p>
            <w:pPr>
              <w:ind w:left="210" w:hanging="210" w:hangingChars="100"/>
              <w:rPr>
                <w:rFonts w:ascii="宋体" w:hAnsi="宋体" w:cs="宋体"/>
                <w:color w:val="auto"/>
                <w:szCs w:val="24"/>
              </w:rPr>
            </w:pPr>
            <w:r>
              <w:rPr>
                <w:rFonts w:hint="eastAsia"/>
                <w:color w:val="auto"/>
                <w:szCs w:val="21"/>
              </w:rPr>
              <w:sym w:font="Wingdings" w:char="00FE"/>
            </w:r>
            <w:r>
              <w:rPr>
                <w:rFonts w:hint="eastAsia" w:ascii="宋体" w:hAnsi="宋体" w:cs="宋体"/>
                <w:color w:val="auto"/>
                <w:szCs w:val="24"/>
              </w:rPr>
              <w:t>确保实现质量管理体系的预期结果；</w:t>
            </w:r>
          </w:p>
          <w:p>
            <w:pPr>
              <w:rPr>
                <w:color w:val="auto"/>
                <w:szCs w:val="21"/>
              </w:rPr>
            </w:pPr>
            <w:r>
              <w:rPr>
                <w:rFonts w:hint="eastAsia"/>
                <w:color w:val="auto"/>
                <w:szCs w:val="21"/>
              </w:rPr>
              <w:sym w:font="Wingdings" w:char="00FE"/>
            </w:r>
            <w:r>
              <w:rPr>
                <w:rFonts w:hint="eastAsia" w:ascii="宋体" w:hAnsi="宋体" w:cs="宋体"/>
                <w:color w:val="auto"/>
                <w:szCs w:val="24"/>
              </w:rPr>
              <w:t>促使、指导和支持员工努力提高质量管理体系的有效性；</w:t>
            </w:r>
          </w:p>
          <w:p>
            <w:pPr>
              <w:rPr>
                <w:color w:val="auto"/>
                <w:szCs w:val="21"/>
              </w:rPr>
            </w:pPr>
            <w:r>
              <w:rPr>
                <w:rFonts w:hint="eastAsia"/>
                <w:color w:val="auto"/>
                <w:szCs w:val="21"/>
              </w:rPr>
              <w:sym w:font="Wingdings" w:char="00FE"/>
            </w:r>
            <w:r>
              <w:rPr>
                <w:rFonts w:hint="eastAsia"/>
                <w:color w:val="auto"/>
                <w:szCs w:val="21"/>
              </w:rPr>
              <w:t>推动改进；</w:t>
            </w:r>
          </w:p>
          <w:p>
            <w:pPr>
              <w:rPr>
                <w:color w:val="auto"/>
                <w:szCs w:val="21"/>
              </w:rPr>
            </w:pPr>
            <w:r>
              <w:rPr>
                <w:rFonts w:hint="eastAsia"/>
                <w:color w:val="auto"/>
                <w:szCs w:val="21"/>
              </w:rPr>
              <w:sym w:font="Wingdings" w:char="00FE"/>
            </w:r>
            <w:r>
              <w:rPr>
                <w:rFonts w:hint="eastAsia"/>
                <w:color w:val="auto"/>
                <w:szCs w:val="21"/>
              </w:rPr>
              <w:t>支持其他相关管理者在其职责范围内发挥领导作用。</w:t>
            </w:r>
          </w:p>
          <w:p>
            <w:pPr>
              <w:rPr>
                <w:color w:val="auto"/>
                <w:szCs w:val="21"/>
              </w:rPr>
            </w:pPr>
          </w:p>
          <w:p>
            <w:pPr>
              <w:rPr>
                <w:color w:val="auto"/>
                <w:szCs w:val="21"/>
              </w:rPr>
            </w:pPr>
            <w:r>
              <w:rPr>
                <w:rFonts w:hint="eastAsia"/>
                <w:color w:val="auto"/>
                <w:szCs w:val="21"/>
              </w:rPr>
              <w:sym w:font="Wingdings" w:char="00FE"/>
            </w:r>
            <w:r>
              <w:rPr>
                <w:rFonts w:hint="eastAsia"/>
                <w:color w:val="auto"/>
                <w:szCs w:val="21"/>
              </w:rPr>
              <w:t xml:space="preserve"> 覆盖了标准第5.1章的全面要求，</w:t>
            </w:r>
            <w:r>
              <w:rPr>
                <w:rFonts w:hint="eastAsia"/>
                <w:color w:val="auto"/>
                <w:szCs w:val="21"/>
              </w:rPr>
              <w:sym w:font="Wingdings" w:char="00A8"/>
            </w:r>
            <w:r>
              <w:rPr>
                <w:rFonts w:hint="eastAsia"/>
                <w:color w:val="auto"/>
                <w:szCs w:val="21"/>
              </w:rPr>
              <w:t xml:space="preserve"> 未覆盖标准第5.1章的全面要求，缺少：</w:t>
            </w:r>
            <w:r>
              <w:rPr>
                <w:rFonts w:hint="eastAsia"/>
                <w:color w:val="auto"/>
                <w:szCs w:val="21"/>
                <w:u w:val="single"/>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质量方针</w:t>
            </w:r>
          </w:p>
        </w:tc>
        <w:tc>
          <w:tcPr>
            <w:tcW w:w="960" w:type="dxa"/>
            <w:vMerge w:val="restart"/>
          </w:tcPr>
          <w:p>
            <w:pPr>
              <w:rPr>
                <w:color w:val="auto"/>
              </w:rPr>
            </w:pPr>
            <w:r>
              <w:rPr>
                <w:color w:val="auto"/>
              </w:rPr>
              <w:t xml:space="preserve">Q </w:t>
            </w:r>
            <w:r>
              <w:rPr>
                <w:rFonts w:hint="eastAsia"/>
                <w:color w:val="auto"/>
              </w:rPr>
              <w:t>5.2  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如：管理手册第5.2章</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u w:val="single"/>
              </w:rPr>
            </w:pPr>
            <w:r>
              <w:rPr>
                <w:rFonts w:hint="eastAsia"/>
                <w:color w:val="auto"/>
                <w:szCs w:val="21"/>
              </w:rPr>
              <w:t xml:space="preserve"> </w:t>
            </w:r>
            <w:r>
              <w:rPr>
                <w:rFonts w:hint="eastAsia"/>
                <w:color w:val="auto"/>
              </w:rPr>
              <w:t>最高管理者制定了文件化的环境体系方针：</w:t>
            </w:r>
          </w:p>
          <w:p>
            <w:pPr>
              <w:rPr>
                <w:color w:val="auto"/>
                <w:u w:val="single"/>
              </w:rPr>
            </w:pPr>
            <w:r>
              <w:rPr>
                <w:rFonts w:hint="eastAsia"/>
                <w:color w:val="auto"/>
                <w:szCs w:val="18"/>
                <w:u w:val="single"/>
              </w:rPr>
              <w:t>顾客至上，信誉第一，主动服务，顾客满意，保护环境，关注健康，杜绝伤害，持续改进</w:t>
            </w:r>
            <w:r>
              <w:rPr>
                <w:rFonts w:hint="eastAsia"/>
                <w:color w:val="auto"/>
                <w:u w:val="single"/>
              </w:rPr>
              <w:t>。</w:t>
            </w:r>
          </w:p>
          <w:p>
            <w:pPr>
              <w:rPr>
                <w:color w:val="auto"/>
              </w:rPr>
            </w:pPr>
            <w:r>
              <w:rPr>
                <w:rFonts w:hint="eastAsia"/>
                <w:color w:val="auto"/>
              </w:rPr>
              <w:t>☑</w:t>
            </w:r>
            <w:r>
              <w:rPr>
                <w:color w:val="auto"/>
              </w:rPr>
              <w:t>适合于组织的宗旨和所处的环境</w:t>
            </w:r>
            <w:r>
              <w:rPr>
                <w:rFonts w:hint="eastAsia"/>
                <w:color w:val="auto"/>
                <w:lang w:val="zh-CN" w:bidi="zh-CN"/>
              </w:rPr>
              <w:t>，</w:t>
            </w:r>
            <w:r>
              <w:rPr>
                <w:color w:val="auto"/>
                <w:lang w:val="zh-CN" w:bidi="zh-CN"/>
              </w:rPr>
              <w:t>包括</w:t>
            </w:r>
            <w:r>
              <w:rPr>
                <w:color w:val="auto"/>
              </w:rPr>
              <w:t>其活动、产品和服务的性质、规模</w:t>
            </w:r>
          </w:p>
          <w:p>
            <w:pPr>
              <w:rPr>
                <w:color w:val="auto"/>
                <w:lang w:val="en-GB"/>
              </w:rPr>
            </w:pPr>
            <w:r>
              <w:rPr>
                <w:rFonts w:hint="eastAsia"/>
                <w:color w:val="auto"/>
              </w:rPr>
              <w:t>☑</w:t>
            </w:r>
            <w:r>
              <w:rPr>
                <w:color w:val="auto"/>
              </w:rPr>
              <w:t>为制定质量目标提供框架</w:t>
            </w:r>
            <w:r>
              <w:rPr>
                <w:rFonts w:hint="eastAsia"/>
                <w:color w:val="auto"/>
                <w:lang w:val="en-GB"/>
              </w:rPr>
              <w:t>。</w:t>
            </w:r>
          </w:p>
          <w:p>
            <w:pPr>
              <w:rPr>
                <w:color w:val="auto"/>
              </w:rPr>
            </w:pPr>
            <w:r>
              <w:rPr>
                <w:rFonts w:hint="eastAsia"/>
                <w:color w:val="auto"/>
              </w:rPr>
              <w:t>☑包括持续改进质量管理体系的承诺</w:t>
            </w:r>
          </w:p>
          <w:p>
            <w:pPr>
              <w:rPr>
                <w:color w:val="auto"/>
              </w:rPr>
            </w:pPr>
            <w:r>
              <w:rPr>
                <w:rFonts w:hint="eastAsia"/>
                <w:color w:val="auto"/>
              </w:rPr>
              <w:t>☑</w:t>
            </w:r>
            <w:r>
              <w:rPr>
                <w:color w:val="auto"/>
              </w:rPr>
              <w:t>包括履行其合规义务的承诺</w:t>
            </w:r>
          </w:p>
          <w:p>
            <w:pPr>
              <w:rPr>
                <w:color w:val="auto"/>
              </w:rPr>
            </w:pPr>
            <w:r>
              <w:rPr>
                <w:rFonts w:hint="eastAsia"/>
                <w:color w:val="auto"/>
              </w:rPr>
              <w:t>☑</w:t>
            </w:r>
            <w:r>
              <w:rPr>
                <w:color w:val="auto"/>
              </w:rPr>
              <w:t>包括持续改进质量管理 体系以提升质量绩效的</w:t>
            </w:r>
            <w:r>
              <w:rPr>
                <w:color w:val="auto"/>
                <w:lang w:val="zh-CN" w:bidi="zh-CN"/>
              </w:rPr>
              <w:t>承诺</w:t>
            </w:r>
          </w:p>
          <w:p>
            <w:pPr>
              <w:rPr>
                <w:color w:val="auto"/>
              </w:rPr>
            </w:pPr>
            <w:r>
              <w:rPr>
                <w:rFonts w:hint="eastAsia"/>
                <w:color w:val="auto"/>
              </w:rPr>
              <w:t>☑在组织内得到沟通、理解和应用，通过：</w:t>
            </w:r>
            <w:r>
              <w:rPr>
                <w:rFonts w:hint="eastAsia"/>
                <w:color w:val="auto"/>
              </w:rPr>
              <w:sym w:font="Wingdings" w:char="00FE"/>
            </w:r>
            <w:r>
              <w:rPr>
                <w:rFonts w:hint="eastAsia"/>
                <w:color w:val="auto"/>
              </w:rPr>
              <w:t xml:space="preserve">展板  </w:t>
            </w:r>
            <w:r>
              <w:rPr>
                <w:rFonts w:hint="eastAsia"/>
                <w:color w:val="auto"/>
              </w:rPr>
              <w:sym w:font="Wingdings" w:char="00FE"/>
            </w:r>
            <w:r>
              <w:rPr>
                <w:rFonts w:hint="eastAsia"/>
                <w:color w:val="auto"/>
              </w:rPr>
              <w:t xml:space="preserve">标语  </w:t>
            </w:r>
            <w:r>
              <w:rPr>
                <w:rFonts w:hint="eastAsia"/>
                <w:color w:val="auto"/>
              </w:rPr>
              <w:sym w:font="Wingdings" w:char="00FE"/>
            </w:r>
            <w:r>
              <w:rPr>
                <w:rFonts w:hint="eastAsia"/>
                <w:color w:val="auto"/>
              </w:rPr>
              <w:t xml:space="preserve">会议  </w:t>
            </w:r>
            <w:r>
              <w:rPr>
                <w:rFonts w:hint="eastAsia"/>
                <w:color w:val="auto"/>
              </w:rPr>
              <w:sym w:font="Wingdings" w:char="00FE"/>
            </w:r>
            <w:r>
              <w:rPr>
                <w:rFonts w:hint="eastAsia"/>
                <w:color w:val="auto"/>
              </w:rPr>
              <w:t xml:space="preserve">文件发放   </w:t>
            </w:r>
            <w:r>
              <w:rPr>
                <w:rFonts w:hint="eastAsia"/>
                <w:color w:val="auto"/>
              </w:rPr>
              <w:sym w:font="Wingdings" w:char="00A8"/>
            </w:r>
            <w:r>
              <w:rPr>
                <w:rFonts w:hint="eastAsia"/>
                <w:color w:val="auto"/>
              </w:rPr>
              <w:t xml:space="preserve">其他  </w:t>
            </w:r>
          </w:p>
          <w:p>
            <w:pPr>
              <w:rPr>
                <w:color w:val="auto"/>
              </w:rPr>
            </w:pPr>
            <w:r>
              <w:rPr>
                <w:rFonts w:ascii="Segoe UI Emoji" w:hAnsi="Segoe UI Emoji" w:cs="Segoe UI Emoji"/>
                <w:color w:val="auto"/>
              </w:rPr>
              <w:t>☑</w:t>
            </w:r>
            <w:r>
              <w:rPr>
                <w:rFonts w:hint="eastAsia"/>
                <w:color w:val="auto"/>
              </w:rPr>
              <w:t>在相关方有需要时提供。通过：</w:t>
            </w:r>
            <w:r>
              <w:rPr>
                <w:rFonts w:hint="eastAsia"/>
                <w:color w:val="auto"/>
              </w:rPr>
              <w:sym w:font="Wingdings" w:char="00FE"/>
            </w:r>
            <w:r>
              <w:rPr>
                <w:rFonts w:hint="eastAsia"/>
                <w:color w:val="auto"/>
              </w:rPr>
              <w:t xml:space="preserve">网站 </w:t>
            </w:r>
            <w:r>
              <w:rPr>
                <w:rFonts w:hint="eastAsia"/>
                <w:color w:val="auto"/>
              </w:rPr>
              <w:sym w:font="Wingdings" w:char="00FE"/>
            </w:r>
            <w:r>
              <w:rPr>
                <w:rFonts w:hint="eastAsia"/>
                <w:color w:val="auto"/>
              </w:rPr>
              <w:t xml:space="preserve">宣传册 </w:t>
            </w:r>
            <w:r>
              <w:rPr>
                <w:rFonts w:hint="eastAsia"/>
                <w:color w:val="auto"/>
              </w:rPr>
              <w:sym w:font="Wingdings" w:char="00A8"/>
            </w:r>
            <w:r>
              <w:rPr>
                <w:rFonts w:hint="eastAsia"/>
                <w:color w:val="auto"/>
              </w:rPr>
              <w:t>其他</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Merge w:val="restart"/>
          </w:tcPr>
          <w:p>
            <w:pPr>
              <w:rPr>
                <w:color w:val="auto"/>
              </w:rPr>
            </w:pPr>
            <w:r>
              <w:rPr>
                <w:rFonts w:hint="eastAsia"/>
                <w:color w:val="auto"/>
              </w:rPr>
              <w:t>组织的岗位、职责和权限</w:t>
            </w:r>
          </w:p>
        </w:tc>
        <w:tc>
          <w:tcPr>
            <w:tcW w:w="960" w:type="dxa"/>
            <w:vMerge w:val="restart"/>
          </w:tcPr>
          <w:p>
            <w:pPr>
              <w:rPr>
                <w:color w:val="auto"/>
              </w:rPr>
            </w:pPr>
            <w:r>
              <w:rPr>
                <w:color w:val="auto"/>
              </w:rPr>
              <w:t xml:space="preserve">Q </w:t>
            </w:r>
            <w:r>
              <w:rPr>
                <w:rFonts w:hint="eastAsia"/>
                <w:color w:val="auto"/>
              </w:rPr>
              <w:t>5.3  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如：☑管理手册第5.3章</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最高管理者确定了组织架构及相关岗位的职责、权限，并进行了全员的沟通和理解；</w:t>
            </w:r>
          </w:p>
          <w:p>
            <w:pPr>
              <w:rPr>
                <w:color w:val="auto"/>
              </w:rPr>
            </w:pPr>
            <w:r>
              <w:rPr>
                <w:rFonts w:hint="eastAsia"/>
                <w:color w:val="auto"/>
              </w:rPr>
              <w:t>如：</w:t>
            </w:r>
          </w:p>
          <w:tbl>
            <w:tblPr>
              <w:tblStyle w:val="8"/>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2390"/>
              <w:gridCol w:w="177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pPr>
                    <w:jc w:val="center"/>
                    <w:rPr>
                      <w:rFonts w:hint="eastAsia" w:eastAsia="宋体"/>
                      <w:color w:val="auto"/>
                      <w:lang w:eastAsia="zh-CN"/>
                    </w:rPr>
                  </w:pPr>
                  <w:r>
                    <w:rPr>
                      <w:rFonts w:hint="eastAsia"/>
                      <w:color w:val="auto"/>
                    </w:rPr>
                    <w:t>过程</w:t>
                  </w:r>
                  <w:r>
                    <w:rPr>
                      <w:rFonts w:hint="eastAsia"/>
                      <w:color w:val="auto"/>
                      <w:lang w:eastAsia="zh-CN"/>
                    </w:rPr>
                    <w:t>名称</w:t>
                  </w:r>
                </w:p>
              </w:tc>
              <w:tc>
                <w:tcPr>
                  <w:tcW w:w="2390" w:type="dxa"/>
                </w:tcPr>
                <w:p>
                  <w:pPr>
                    <w:jc w:val="center"/>
                    <w:rPr>
                      <w:color w:val="auto"/>
                    </w:rPr>
                  </w:pPr>
                  <w:r>
                    <w:rPr>
                      <w:rFonts w:hint="eastAsia"/>
                      <w:color w:val="auto"/>
                      <w:lang w:eastAsia="zh-CN"/>
                    </w:rPr>
                    <w:t>负责</w:t>
                  </w:r>
                  <w:r>
                    <w:rPr>
                      <w:rFonts w:hint="eastAsia"/>
                      <w:color w:val="auto"/>
                    </w:rPr>
                    <w:t>部门</w:t>
                  </w:r>
                </w:p>
              </w:tc>
              <w:tc>
                <w:tcPr>
                  <w:tcW w:w="1778" w:type="dxa"/>
                </w:tcPr>
                <w:p>
                  <w:pPr>
                    <w:jc w:val="center"/>
                    <w:rPr>
                      <w:color w:val="auto"/>
                    </w:rPr>
                  </w:pPr>
                  <w:r>
                    <w:rPr>
                      <w:rFonts w:hint="eastAsia"/>
                      <w:color w:val="auto"/>
                    </w:rPr>
                    <w:t>过程名称</w:t>
                  </w:r>
                </w:p>
              </w:tc>
              <w:tc>
                <w:tcPr>
                  <w:tcW w:w="2025" w:type="dxa"/>
                </w:tcPr>
                <w:p>
                  <w:pPr>
                    <w:jc w:val="center"/>
                    <w:rPr>
                      <w:color w:val="auto"/>
                    </w:rPr>
                  </w:pPr>
                  <w:r>
                    <w:rPr>
                      <w:rFonts w:hint="eastAsia"/>
                      <w:color w:val="auto"/>
                      <w:lang w:eastAsia="zh-CN"/>
                    </w:rPr>
                    <w:t>负责</w:t>
                  </w:r>
                  <w:r>
                    <w:rPr>
                      <w:rFonts w:hint="eastAsia"/>
                      <w:color w:val="auto"/>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vAlign w:val="center"/>
                </w:tcPr>
                <w:p>
                  <w:pPr>
                    <w:rPr>
                      <w:color w:val="auto"/>
                    </w:rPr>
                  </w:pPr>
                  <w:r>
                    <w:rPr>
                      <w:rFonts w:hint="eastAsia"/>
                      <w:color w:val="auto"/>
                    </w:rPr>
                    <w:t>质量管理体系策划和推动</w:t>
                  </w:r>
                </w:p>
              </w:tc>
              <w:tc>
                <w:tcPr>
                  <w:tcW w:w="2390" w:type="dxa"/>
                  <w:vAlign w:val="center"/>
                </w:tcPr>
                <w:p>
                  <w:pPr>
                    <w:rPr>
                      <w:color w:val="auto"/>
                    </w:rPr>
                  </w:pPr>
                  <w:r>
                    <w:rPr>
                      <w:rFonts w:hint="eastAsia"/>
                      <w:color w:val="auto"/>
                    </w:rPr>
                    <w:t>综合部</w:t>
                  </w:r>
                </w:p>
              </w:tc>
              <w:tc>
                <w:tcPr>
                  <w:tcW w:w="1778" w:type="dxa"/>
                  <w:vAlign w:val="center"/>
                </w:tcPr>
                <w:p>
                  <w:pPr>
                    <w:rPr>
                      <w:rFonts w:hint="eastAsia" w:eastAsia="宋体"/>
                      <w:color w:val="auto"/>
                      <w:lang w:val="en-US" w:eastAsia="zh-CN"/>
                    </w:rPr>
                  </w:pPr>
                  <w:r>
                    <w:rPr>
                      <w:rFonts w:hint="eastAsia"/>
                      <w:color w:val="auto"/>
                    </w:rPr>
                    <w:t>生产/服务</w:t>
                  </w:r>
                  <w:r>
                    <w:rPr>
                      <w:rFonts w:hint="eastAsia"/>
                      <w:color w:val="auto"/>
                      <w:lang w:eastAsia="zh-CN"/>
                    </w:rPr>
                    <w:t>提供</w:t>
                  </w:r>
                </w:p>
              </w:tc>
              <w:tc>
                <w:tcPr>
                  <w:tcW w:w="2025" w:type="dxa"/>
                  <w:vAlign w:val="center"/>
                </w:tcPr>
                <w:p>
                  <w:pPr>
                    <w:rPr>
                      <w:color w:val="auto"/>
                    </w:rPr>
                  </w:pPr>
                  <w:r>
                    <w:rPr>
                      <w:rFonts w:hint="eastAsia"/>
                      <w:color w:val="auto"/>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pPr>
                    <w:rPr>
                      <w:color w:val="auto"/>
                    </w:rPr>
                  </w:pPr>
                </w:p>
              </w:tc>
              <w:tc>
                <w:tcPr>
                  <w:tcW w:w="2390" w:type="dxa"/>
                </w:tcPr>
                <w:p>
                  <w:pPr>
                    <w:rPr>
                      <w:color w:val="auto"/>
                    </w:rPr>
                  </w:pPr>
                </w:p>
              </w:tc>
              <w:tc>
                <w:tcPr>
                  <w:tcW w:w="1778" w:type="dxa"/>
                </w:tcPr>
                <w:p>
                  <w:pPr>
                    <w:rPr>
                      <w:color w:val="auto"/>
                    </w:rPr>
                  </w:pPr>
                </w:p>
              </w:tc>
              <w:tc>
                <w:tcPr>
                  <w:tcW w:w="2025" w:type="dxa"/>
                </w:tcPr>
                <w:p>
                  <w:pPr>
                    <w:rPr>
                      <w:color w:val="auto"/>
                    </w:rPr>
                  </w:pPr>
                </w:p>
              </w:tc>
            </w:tr>
          </w:tbl>
          <w:p>
            <w:pPr>
              <w:rPr>
                <w:color w:val="auto"/>
              </w:rPr>
            </w:pPr>
          </w:p>
          <w:p>
            <w:pPr>
              <w:rPr>
                <w:color w:val="auto"/>
              </w:rPr>
            </w:pPr>
            <w:r>
              <w:rPr>
                <w:rFonts w:hint="eastAsia"/>
                <w:color w:val="auto"/>
              </w:rPr>
              <w:t>向最高管理者汇报，</w:t>
            </w:r>
            <w:r>
              <w:rPr>
                <w:rFonts w:hint="eastAsia"/>
                <w:color w:val="auto"/>
              </w:rPr>
              <w:sym w:font="Wingdings" w:char="00FE"/>
            </w:r>
            <w:r>
              <w:rPr>
                <w:rFonts w:hint="eastAsia"/>
                <w:color w:val="auto"/>
              </w:rPr>
              <w:t>管理者代表：</w:t>
            </w:r>
            <w:r>
              <w:rPr>
                <w:rFonts w:hint="eastAsia"/>
                <w:color w:val="auto"/>
                <w:lang w:val="en-US" w:eastAsia="zh-CN"/>
              </w:rPr>
              <w:t xml:space="preserve"> </w:t>
            </w:r>
            <w:r>
              <w:rPr>
                <w:rFonts w:hint="eastAsia" w:ascii="宋体" w:hAnsi="宋体" w:cs="Tahoma"/>
                <w:bCs/>
                <w:color w:val="auto"/>
                <w:sz w:val="24"/>
                <w:szCs w:val="24"/>
              </w:rPr>
              <w:t>万梦云</w:t>
            </w:r>
            <w:r>
              <w:rPr>
                <w:rFonts w:hint="eastAsia" w:ascii="宋体" w:hAnsi="宋体" w:cs="Tahoma"/>
                <w:bCs/>
                <w:color w:val="auto"/>
                <w:sz w:val="24"/>
                <w:szCs w:val="24"/>
                <w:lang w:val="en-US" w:eastAsia="zh-CN"/>
              </w:rPr>
              <w:t xml:space="preserve">   </w:t>
            </w:r>
            <w:r>
              <w:rPr>
                <w:rFonts w:hint="eastAsia"/>
                <w:color w:val="auto"/>
              </w:rPr>
              <w:sym w:font="Wingdings" w:char="00A8"/>
            </w:r>
            <w:r>
              <w:rPr>
                <w:rFonts w:hint="eastAsia"/>
                <w:color w:val="auto"/>
              </w:rPr>
              <w:t>各部门</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szCs w:val="21"/>
              </w:rPr>
              <w:t>应对风险和机遇的措施</w:t>
            </w:r>
          </w:p>
        </w:tc>
        <w:tc>
          <w:tcPr>
            <w:tcW w:w="960" w:type="dxa"/>
            <w:vMerge w:val="restart"/>
          </w:tcPr>
          <w:p>
            <w:pPr>
              <w:rPr>
                <w:color w:val="auto"/>
              </w:rPr>
            </w:pPr>
            <w:r>
              <w:rPr>
                <w:color w:val="auto"/>
                <w:szCs w:val="21"/>
              </w:rPr>
              <w:t xml:space="preserve">Q </w:t>
            </w:r>
            <w:r>
              <w:rPr>
                <w:rFonts w:hint="eastAsia"/>
                <w:color w:val="auto"/>
                <w:szCs w:val="21"/>
              </w:rPr>
              <w:t>6.1  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w:t>
            </w:r>
            <w:r>
              <w:rPr>
                <w:rFonts w:hint="eastAsia"/>
                <w:color w:val="auto"/>
                <w:szCs w:val="21"/>
              </w:rPr>
              <w:t>风险和机遇</w:t>
            </w:r>
            <w:r>
              <w:rPr>
                <w:rFonts w:hint="eastAsia"/>
                <w:color w:val="auto"/>
              </w:rPr>
              <w:t>管制程序》、</w:t>
            </w:r>
            <w:r>
              <w:rPr>
                <w:rFonts w:hint="eastAsia"/>
                <w:color w:val="auto"/>
              </w:rPr>
              <w:sym w:font="Wingdings" w:char="00FE"/>
            </w:r>
            <w:r>
              <w:rPr>
                <w:rFonts w:hint="eastAsia"/>
                <w:color w:val="auto"/>
              </w:rPr>
              <w:t>手册第6.1条款</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分析风险的方法：</w:t>
            </w:r>
            <w:r>
              <w:rPr>
                <w:rFonts w:hint="eastAsia"/>
                <w:color w:val="auto"/>
              </w:rPr>
              <w:sym w:font="Wingdings" w:char="00A8"/>
            </w:r>
            <w:r>
              <w:rPr>
                <w:rFonts w:hint="eastAsia"/>
                <w:color w:val="auto"/>
              </w:rPr>
              <w:t xml:space="preserve">头脑风暴法 </w:t>
            </w:r>
            <w:r>
              <w:rPr>
                <w:rFonts w:hint="eastAsia"/>
                <w:color w:val="auto"/>
              </w:rPr>
              <w:sym w:font="Wingdings" w:char="00A8"/>
            </w:r>
            <w:r>
              <w:rPr>
                <w:rFonts w:hint="eastAsia"/>
                <w:color w:val="auto"/>
              </w:rPr>
              <w:t>FMEA（潜在失效模式分析）</w:t>
            </w:r>
            <w:r>
              <w:rPr>
                <w:rFonts w:hint="eastAsia"/>
                <w:color w:val="auto"/>
              </w:rPr>
              <w:sym w:font="Wingdings" w:char="00FE"/>
            </w:r>
            <w:r>
              <w:rPr>
                <w:rFonts w:hint="eastAsia"/>
                <w:color w:val="auto"/>
              </w:rPr>
              <w:t>其他</w:t>
            </w:r>
          </w:p>
          <w:p>
            <w:pPr>
              <w:rPr>
                <w:color w:val="auto"/>
              </w:rPr>
            </w:pPr>
          </w:p>
          <w:p>
            <w:pPr>
              <w:rPr>
                <w:color w:val="auto"/>
              </w:rPr>
            </w:pPr>
            <w:r>
              <w:rPr>
                <w:rFonts w:hint="eastAsia"/>
                <w:color w:val="auto"/>
              </w:rPr>
              <w:t xml:space="preserve">应对风险的措施类型包括： </w:t>
            </w:r>
          </w:p>
          <w:p>
            <w:pPr>
              <w:rPr>
                <w:color w:val="auto"/>
              </w:rPr>
            </w:pPr>
            <w:r>
              <w:rPr>
                <w:rFonts w:hint="eastAsia"/>
                <w:color w:val="auto"/>
              </w:rPr>
              <w:sym w:font="Wingdings" w:char="00FE"/>
            </w:r>
            <w:r>
              <w:rPr>
                <w:rFonts w:hint="eastAsia"/>
                <w:color w:val="auto"/>
              </w:rPr>
              <w:t>规避风险</w:t>
            </w:r>
            <w:r>
              <w:rPr>
                <w:rFonts w:hint="eastAsia"/>
                <w:color w:val="auto"/>
              </w:rPr>
              <w:sym w:font="Wingdings" w:char="00FE"/>
            </w:r>
            <w:r>
              <w:rPr>
                <w:rFonts w:hint="eastAsia"/>
                <w:color w:val="auto"/>
              </w:rPr>
              <w:t>为寻求机遇承担风险、</w:t>
            </w:r>
            <w:r>
              <w:rPr>
                <w:rFonts w:hint="eastAsia"/>
                <w:color w:val="auto"/>
              </w:rPr>
              <w:sym w:font="Wingdings" w:char="00FE"/>
            </w:r>
            <w:r>
              <w:rPr>
                <w:rFonts w:hint="eastAsia"/>
                <w:color w:val="auto"/>
              </w:rPr>
              <w:t>消除风险源</w:t>
            </w:r>
            <w:r>
              <w:rPr>
                <w:rFonts w:hint="eastAsia"/>
                <w:color w:val="auto"/>
              </w:rPr>
              <w:sym w:font="Wingdings" w:char="00FE"/>
            </w:r>
            <w:r>
              <w:rPr>
                <w:rFonts w:hint="eastAsia"/>
                <w:color w:val="auto"/>
              </w:rPr>
              <w:t>改变风险的可能性和后果、</w:t>
            </w:r>
            <w:r>
              <w:rPr>
                <w:rFonts w:hint="eastAsia"/>
                <w:color w:val="auto"/>
              </w:rPr>
              <w:sym w:font="Wingdings" w:char="00FE"/>
            </w:r>
            <w:r>
              <w:rPr>
                <w:rFonts w:hint="eastAsia"/>
                <w:color w:val="auto"/>
              </w:rPr>
              <w:t>分担风险</w:t>
            </w:r>
            <w:r>
              <w:rPr>
                <w:rFonts w:hint="eastAsia"/>
                <w:color w:val="auto"/>
              </w:rPr>
              <w:sym w:font="Wingdings" w:char="00FE"/>
            </w:r>
            <w:r>
              <w:rPr>
                <w:rFonts w:hint="eastAsia"/>
                <w:color w:val="auto"/>
              </w:rPr>
              <w:t xml:space="preserve">通过信息充分的决策而保留风险 </w:t>
            </w:r>
            <w:r>
              <w:rPr>
                <w:rFonts w:hint="eastAsia"/>
                <w:color w:val="auto"/>
              </w:rPr>
              <w:sym w:font="Wingdings" w:char="00A8"/>
            </w:r>
            <w:r>
              <w:rPr>
                <w:rFonts w:hint="eastAsia"/>
                <w:color w:val="auto"/>
              </w:rPr>
              <w:t>其他</w:t>
            </w:r>
          </w:p>
          <w:p>
            <w:pPr>
              <w:rPr>
                <w:color w:val="auto"/>
              </w:rPr>
            </w:pPr>
          </w:p>
          <w:p>
            <w:pPr>
              <w:rPr>
                <w:color w:val="auto"/>
              </w:rPr>
            </w:pPr>
            <w:r>
              <w:rPr>
                <w:rFonts w:hint="eastAsia"/>
                <w:color w:val="auto"/>
              </w:rPr>
              <w:t xml:space="preserve">列举2~3项应对主要风险的描述：         </w:t>
            </w:r>
          </w:p>
          <w:p>
            <w:pPr>
              <w:rPr>
                <w:color w:val="auto"/>
              </w:rPr>
            </w:pPr>
            <w:r>
              <w:rPr>
                <w:color w:val="auto"/>
              </w:rPr>
              <w:drawing>
                <wp:inline distT="0" distB="0" distL="114300" distR="114300">
                  <wp:extent cx="5741670" cy="1078230"/>
                  <wp:effectExtent l="0" t="0" r="1143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741670" cy="1078230"/>
                          </a:xfrm>
                          <a:prstGeom prst="rect">
                            <a:avLst/>
                          </a:prstGeom>
                          <a:noFill/>
                          <a:ln>
                            <a:noFill/>
                          </a:ln>
                        </pic:spPr>
                      </pic:pic>
                    </a:graphicData>
                  </a:graphic>
                </wp:inline>
              </w:drawing>
            </w:r>
          </w:p>
          <w:p>
            <w:pPr>
              <w:rPr>
                <w:color w:val="auto"/>
              </w:rPr>
            </w:pPr>
            <w:r>
              <w:rPr>
                <w:color w:val="auto"/>
              </w:rPr>
              <w:drawing>
                <wp:inline distT="0" distB="0" distL="114300" distR="114300">
                  <wp:extent cx="5739765" cy="462915"/>
                  <wp:effectExtent l="0" t="0" r="63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739765" cy="462915"/>
                          </a:xfrm>
                          <a:prstGeom prst="rect">
                            <a:avLst/>
                          </a:prstGeom>
                          <a:noFill/>
                          <a:ln>
                            <a:noFill/>
                          </a:ln>
                        </pic:spPr>
                      </pic:pic>
                    </a:graphicData>
                  </a:graphic>
                </wp:inline>
              </w:drawing>
            </w:r>
          </w:p>
          <w:p>
            <w:pPr>
              <w:rPr>
                <w:color w:val="auto"/>
              </w:rPr>
            </w:pPr>
          </w:p>
          <w:p>
            <w:pPr>
              <w:rPr>
                <w:color w:val="auto"/>
              </w:rPr>
            </w:pPr>
            <w:r>
              <w:rPr>
                <w:rFonts w:hint="eastAsia"/>
                <w:color w:val="auto"/>
              </w:rPr>
              <w:t xml:space="preserve">应对机遇的措施类型包括： </w:t>
            </w:r>
          </w:p>
          <w:p>
            <w:pPr>
              <w:rPr>
                <w:color w:val="auto"/>
              </w:rPr>
            </w:pPr>
            <w:r>
              <w:rPr>
                <w:rFonts w:hint="eastAsia"/>
                <w:color w:val="auto"/>
              </w:rPr>
              <w:sym w:font="Wingdings" w:char="00A8"/>
            </w:r>
            <w:r>
              <w:rPr>
                <w:rFonts w:hint="eastAsia"/>
                <w:color w:val="auto"/>
              </w:rPr>
              <w:t xml:space="preserve">采用新实践 </w:t>
            </w:r>
            <w:r>
              <w:rPr>
                <w:rFonts w:hint="eastAsia"/>
                <w:color w:val="auto"/>
              </w:rPr>
              <w:sym w:font="Wingdings" w:char="00A8"/>
            </w:r>
            <w:r>
              <w:rPr>
                <w:rFonts w:hint="eastAsia"/>
                <w:color w:val="auto"/>
              </w:rPr>
              <w:t xml:space="preserve">推出新产品  </w:t>
            </w:r>
            <w:r>
              <w:rPr>
                <w:rFonts w:hint="eastAsia"/>
                <w:color w:val="auto"/>
              </w:rPr>
              <w:sym w:font="Wingdings" w:char="00A8"/>
            </w:r>
            <w:r>
              <w:rPr>
                <w:rFonts w:hint="eastAsia"/>
                <w:color w:val="auto"/>
              </w:rPr>
              <w:t xml:space="preserve">开辟新市场  </w:t>
            </w:r>
            <w:r>
              <w:rPr>
                <w:rFonts w:hint="eastAsia"/>
                <w:color w:val="auto"/>
              </w:rPr>
              <w:sym w:font="Wingdings" w:char="00A8"/>
            </w:r>
            <w:r>
              <w:rPr>
                <w:rFonts w:hint="eastAsia"/>
                <w:color w:val="auto"/>
              </w:rPr>
              <w:t xml:space="preserve">赢得新顾客  </w:t>
            </w:r>
            <w:r>
              <w:rPr>
                <w:rFonts w:hint="eastAsia"/>
                <w:color w:val="auto"/>
              </w:rPr>
              <w:sym w:font="Wingdings" w:char="00FE"/>
            </w:r>
            <w:r>
              <w:rPr>
                <w:rFonts w:hint="eastAsia"/>
                <w:color w:val="auto"/>
              </w:rPr>
              <w:t xml:space="preserve">建立合作伙伴关系  </w:t>
            </w:r>
            <w:r>
              <w:rPr>
                <w:rFonts w:hint="eastAsia"/>
                <w:color w:val="auto"/>
              </w:rPr>
              <w:sym w:font="Wingdings" w:char="00FE"/>
            </w:r>
            <w:r>
              <w:rPr>
                <w:rFonts w:hint="eastAsia"/>
                <w:color w:val="auto"/>
              </w:rPr>
              <w:t xml:space="preserve">利用新技术  </w:t>
            </w:r>
            <w:r>
              <w:rPr>
                <w:rFonts w:hint="eastAsia"/>
                <w:color w:val="auto"/>
              </w:rPr>
              <w:sym w:font="Wingdings" w:char="00A8"/>
            </w:r>
            <w:r>
              <w:rPr>
                <w:rFonts w:hint="eastAsia"/>
                <w:color w:val="auto"/>
              </w:rPr>
              <w:t>其他</w:t>
            </w:r>
          </w:p>
          <w:p>
            <w:pPr>
              <w:rPr>
                <w:color w:val="auto"/>
              </w:rPr>
            </w:pPr>
            <w:r>
              <w:rPr>
                <w:rFonts w:hint="eastAsia"/>
                <w:color w:val="auto"/>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29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auto"/>
                    </w:rPr>
                  </w:pPr>
                  <w:r>
                    <w:rPr>
                      <w:rFonts w:hint="eastAsia"/>
                      <w:color w:val="auto"/>
                    </w:rPr>
                    <w:t>主要的机遇描述</w:t>
                  </w:r>
                </w:p>
              </w:tc>
              <w:tc>
                <w:tcPr>
                  <w:tcW w:w="2982" w:type="dxa"/>
                </w:tcPr>
                <w:p>
                  <w:pPr>
                    <w:rPr>
                      <w:color w:val="auto"/>
                      <w:szCs w:val="24"/>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auto"/>
                    </w:rPr>
                  </w:pPr>
                  <w:r>
                    <w:rPr>
                      <w:rFonts w:hint="eastAsia" w:ascii="Comic Sans MS" w:hAnsi="DFKai-SB"/>
                      <w:color w:val="auto"/>
                    </w:rPr>
                    <w:t>财务状况良好，资金充足</w:t>
                  </w:r>
                </w:p>
              </w:tc>
              <w:tc>
                <w:tcPr>
                  <w:tcW w:w="2982" w:type="dxa"/>
                </w:tcPr>
                <w:p>
                  <w:pPr>
                    <w:rPr>
                      <w:color w:val="auto"/>
                    </w:rPr>
                  </w:pPr>
                  <w:r>
                    <w:rPr>
                      <w:rFonts w:hint="eastAsia"/>
                      <w:color w:val="auto"/>
                    </w:rPr>
                    <w:t>加强市场开发</w:t>
                  </w:r>
                </w:p>
              </w:tc>
              <w:tc>
                <w:tcPr>
                  <w:tcW w:w="1717" w:type="dxa"/>
                </w:tcPr>
                <w:p>
                  <w:pPr>
                    <w:rPr>
                      <w:color w:val="auto"/>
                    </w:rPr>
                  </w:pP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auto"/>
                      <w:szCs w:val="24"/>
                    </w:rPr>
                  </w:pPr>
                </w:p>
              </w:tc>
              <w:tc>
                <w:tcPr>
                  <w:tcW w:w="2982" w:type="dxa"/>
                </w:tcPr>
                <w:p>
                  <w:pPr>
                    <w:rPr>
                      <w:color w:val="auto"/>
                    </w:rPr>
                  </w:pPr>
                </w:p>
              </w:tc>
              <w:tc>
                <w:tcPr>
                  <w:tcW w:w="1717" w:type="dxa"/>
                </w:tcPr>
                <w:p>
                  <w:pPr>
                    <w:rPr>
                      <w:color w:val="auto"/>
                    </w:rPr>
                  </w:pPr>
                </w:p>
              </w:tc>
            </w:tr>
          </w:tbl>
          <w:p>
            <w:pPr>
              <w:rPr>
                <w:color w:val="auto"/>
              </w:rPr>
            </w:pPr>
          </w:p>
          <w:p>
            <w:pPr>
              <w:rPr>
                <w:color w:val="auto"/>
              </w:rPr>
            </w:pPr>
            <w:r>
              <w:rPr>
                <w:rFonts w:hint="eastAsia"/>
                <w:color w:val="auto"/>
              </w:rPr>
              <w:t>组织质量管理体系范围内的潜在紧急情况，如</w:t>
            </w:r>
            <w:r>
              <w:rPr>
                <w:rFonts w:hint="eastAsia"/>
                <w:color w:val="auto"/>
                <w:u w:val="single"/>
              </w:rPr>
              <w:t xml:space="preserve"> </w:t>
            </w:r>
            <w:r>
              <w:rPr>
                <w:rFonts w:hint="eastAsia"/>
                <w:color w:val="auto"/>
                <w:u w:val="single"/>
              </w:rPr>
              <w:sym w:font="Wingdings" w:char="00FE"/>
            </w:r>
            <w:r>
              <w:rPr>
                <w:rFonts w:hint="eastAsia"/>
                <w:color w:val="auto"/>
                <w:u w:val="single"/>
              </w:rPr>
              <w:t xml:space="preserve">法规未识别  </w:t>
            </w:r>
            <w:r>
              <w:rPr>
                <w:rFonts w:hint="eastAsia"/>
                <w:color w:val="auto"/>
                <w:u w:val="single"/>
              </w:rPr>
              <w:sym w:font="Wingdings" w:char="00FE"/>
            </w:r>
            <w:r>
              <w:rPr>
                <w:rFonts w:hint="eastAsia"/>
                <w:color w:val="auto"/>
                <w:u w:val="single"/>
              </w:rPr>
              <w:t xml:space="preserve">违规操作  </w:t>
            </w:r>
            <w:r>
              <w:rPr>
                <w:rFonts w:hint="eastAsia"/>
                <w:color w:val="auto"/>
                <w:u w:val="single"/>
              </w:rPr>
              <w:sym w:font="Wingdings" w:char="00A8"/>
            </w:r>
            <w:r>
              <w:rPr>
                <w:rFonts w:hint="eastAsia"/>
                <w:color w:val="auto"/>
                <w:u w:val="single"/>
              </w:rPr>
              <w:t xml:space="preserve">其他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szCs w:val="21"/>
              </w:rPr>
              <w:t>质量目标</w:t>
            </w:r>
          </w:p>
        </w:tc>
        <w:tc>
          <w:tcPr>
            <w:tcW w:w="960" w:type="dxa"/>
            <w:vMerge w:val="restart"/>
          </w:tcPr>
          <w:p>
            <w:pPr>
              <w:rPr>
                <w:color w:val="auto"/>
              </w:rPr>
            </w:pPr>
            <w:r>
              <w:rPr>
                <w:color w:val="auto"/>
                <w:szCs w:val="21"/>
              </w:rPr>
              <w:t xml:space="preserve">Q </w:t>
            </w:r>
            <w:r>
              <w:rPr>
                <w:rFonts w:hint="eastAsia"/>
                <w:color w:val="auto"/>
                <w:szCs w:val="21"/>
              </w:rPr>
              <w:t>6.2 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手册第6.2条款、</w:t>
            </w:r>
            <w:r>
              <w:rPr>
                <w:rFonts w:hint="eastAsia"/>
                <w:color w:val="auto"/>
              </w:rPr>
              <w:sym w:font="Wingdings" w:char="00FE"/>
            </w:r>
            <w:r>
              <w:rPr>
                <w:rFonts w:hint="eastAsia"/>
                <w:color w:val="auto"/>
              </w:rPr>
              <w:t>《</w:t>
            </w:r>
            <w:r>
              <w:rPr>
                <w:rFonts w:hint="eastAsia"/>
                <w:color w:val="auto"/>
                <w:szCs w:val="21"/>
              </w:rPr>
              <w:t>质量目标</w:t>
            </w:r>
            <w:r>
              <w:rPr>
                <w:rFonts w:hint="eastAsia"/>
                <w:color w:val="auto"/>
              </w:rPr>
              <w:t>》、</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组织建立了与方针一致的文件化的管理目标。为实现总质量目标而建立的各层级质量目标具体、有针对性、可测量并且可实现。</w:t>
            </w:r>
          </w:p>
          <w:p>
            <w:pPr>
              <w:rPr>
                <w:color w:val="auto"/>
              </w:rPr>
            </w:pPr>
            <w:r>
              <w:rPr>
                <w:rFonts w:hint="eastAsia"/>
                <w:color w:val="auto"/>
              </w:rPr>
              <w:t>总质量目标实现情况的评价，及其测量方法是：</w:t>
            </w:r>
          </w:p>
          <w:tbl>
            <w:tblPr>
              <w:tblStyle w:val="7"/>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8"/>
              <w:gridCol w:w="838"/>
              <w:gridCol w:w="369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shd w:val="clear" w:color="auto" w:fill="auto"/>
                  <w:vAlign w:val="center"/>
                </w:tcPr>
                <w:p>
                  <w:pPr>
                    <w:jc w:val="center"/>
                    <w:rPr>
                      <w:rFonts w:ascii="宋体" w:hAnsi="宋体"/>
                      <w:color w:val="auto"/>
                      <w:szCs w:val="24"/>
                    </w:rPr>
                  </w:pPr>
                  <w:r>
                    <w:rPr>
                      <w:rFonts w:hint="eastAsia" w:ascii="宋体" w:hAnsi="宋体"/>
                      <w:color w:val="auto"/>
                      <w:szCs w:val="24"/>
                    </w:rPr>
                    <w:t>质量目标</w:t>
                  </w:r>
                </w:p>
              </w:tc>
              <w:tc>
                <w:tcPr>
                  <w:tcW w:w="838" w:type="dxa"/>
                  <w:shd w:val="clear" w:color="auto" w:fill="auto"/>
                  <w:vAlign w:val="center"/>
                </w:tcPr>
                <w:p>
                  <w:pPr>
                    <w:jc w:val="center"/>
                    <w:rPr>
                      <w:rFonts w:ascii="宋体" w:hAnsi="宋体"/>
                      <w:color w:val="auto"/>
                      <w:szCs w:val="24"/>
                    </w:rPr>
                  </w:pPr>
                  <w:r>
                    <w:rPr>
                      <w:rFonts w:hint="eastAsia" w:ascii="宋体" w:hAnsi="宋体"/>
                      <w:color w:val="auto"/>
                      <w:szCs w:val="24"/>
                    </w:rPr>
                    <w:t>频次</w:t>
                  </w:r>
                </w:p>
              </w:tc>
              <w:tc>
                <w:tcPr>
                  <w:tcW w:w="3698" w:type="dxa"/>
                  <w:shd w:val="clear" w:color="auto" w:fill="auto"/>
                  <w:vAlign w:val="center"/>
                </w:tcPr>
                <w:p>
                  <w:pPr>
                    <w:jc w:val="center"/>
                    <w:rPr>
                      <w:rFonts w:ascii="宋体" w:hAnsi="宋体"/>
                      <w:color w:val="auto"/>
                      <w:szCs w:val="24"/>
                    </w:rPr>
                  </w:pPr>
                  <w:r>
                    <w:rPr>
                      <w:rFonts w:hint="eastAsia" w:ascii="宋体" w:hAnsi="宋体"/>
                      <w:color w:val="auto"/>
                      <w:szCs w:val="24"/>
                    </w:rPr>
                    <w:t>计算方法</w:t>
                  </w:r>
                </w:p>
              </w:tc>
              <w:tc>
                <w:tcPr>
                  <w:tcW w:w="1560" w:type="dxa"/>
                  <w:shd w:val="clear" w:color="auto" w:fill="auto"/>
                  <w:vAlign w:val="center"/>
                </w:tcPr>
                <w:p>
                  <w:pPr>
                    <w:jc w:val="center"/>
                    <w:rPr>
                      <w:rFonts w:ascii="宋体" w:hAnsi="宋体"/>
                      <w:color w:val="auto"/>
                      <w:szCs w:val="24"/>
                    </w:rPr>
                  </w:pPr>
                  <w:r>
                    <w:rPr>
                      <w:rFonts w:hint="eastAsia" w:ascii="宋体" w:hAnsi="宋体"/>
                      <w:color w:val="auto"/>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shd w:val="clear" w:color="auto" w:fill="auto"/>
                </w:tcPr>
                <w:p>
                  <w:pPr>
                    <w:rPr>
                      <w:color w:val="auto"/>
                    </w:rPr>
                  </w:pPr>
                  <w:r>
                    <w:rPr>
                      <w:rFonts w:hint="eastAsia"/>
                      <w:color w:val="auto"/>
                    </w:rPr>
                    <w:t>工程一次性交验合格率≥95%</w:t>
                  </w:r>
                </w:p>
              </w:tc>
              <w:tc>
                <w:tcPr>
                  <w:tcW w:w="838" w:type="dxa"/>
                  <w:shd w:val="clear" w:color="auto" w:fill="auto"/>
                  <w:vAlign w:val="center"/>
                </w:tcPr>
                <w:p>
                  <w:pPr>
                    <w:widowControl/>
                    <w:spacing w:before="40"/>
                    <w:rPr>
                      <w:color w:val="auto"/>
                    </w:rPr>
                  </w:pPr>
                  <w:r>
                    <w:rPr>
                      <w:rFonts w:hint="eastAsia"/>
                      <w:color w:val="auto"/>
                      <w:szCs w:val="21"/>
                    </w:rPr>
                    <w:t>季度</w:t>
                  </w:r>
                </w:p>
              </w:tc>
              <w:tc>
                <w:tcPr>
                  <w:tcW w:w="3698" w:type="dxa"/>
                  <w:shd w:val="clear" w:color="auto" w:fill="auto"/>
                  <w:vAlign w:val="center"/>
                </w:tcPr>
                <w:p>
                  <w:pPr>
                    <w:spacing w:line="360" w:lineRule="exact"/>
                    <w:rPr>
                      <w:color w:val="auto"/>
                      <w:szCs w:val="24"/>
                    </w:rPr>
                  </w:pPr>
                  <w:r>
                    <w:rPr>
                      <w:rFonts w:hint="eastAsia"/>
                      <w:color w:val="auto"/>
                      <w:szCs w:val="21"/>
                    </w:rPr>
                    <w:t>一次交验检验合格次数/工程检验总数</w:t>
                  </w:r>
                  <w:r>
                    <w:rPr>
                      <w:rFonts w:hint="eastAsia" w:ascii="宋体" w:hAnsi="宋体"/>
                      <w:color w:val="auto"/>
                      <w:szCs w:val="21"/>
                    </w:rPr>
                    <w:t>×</w:t>
                  </w:r>
                  <w:r>
                    <w:rPr>
                      <w:rFonts w:hint="eastAsia"/>
                      <w:color w:val="auto"/>
                      <w:szCs w:val="21"/>
                    </w:rPr>
                    <w:t>100%</w:t>
                  </w:r>
                </w:p>
              </w:tc>
              <w:tc>
                <w:tcPr>
                  <w:tcW w:w="1560" w:type="dxa"/>
                  <w:shd w:val="clear" w:color="auto" w:fill="auto"/>
                  <w:vAlign w:val="center"/>
                </w:tcPr>
                <w:p>
                  <w:pPr>
                    <w:widowControl/>
                    <w:spacing w:before="40"/>
                    <w:rPr>
                      <w:color w:val="auto"/>
                    </w:rPr>
                  </w:pPr>
                  <w:r>
                    <w:rPr>
                      <w:rFonts w:hint="eastAsia"/>
                      <w:color w:val="auto"/>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shd w:val="clear" w:color="auto" w:fill="auto"/>
                </w:tcPr>
                <w:p>
                  <w:pPr>
                    <w:spacing w:line="360" w:lineRule="exact"/>
                    <w:rPr>
                      <w:color w:val="auto"/>
                    </w:rPr>
                  </w:pPr>
                  <w:r>
                    <w:rPr>
                      <w:rFonts w:hint="eastAsia"/>
                      <w:color w:val="auto"/>
                    </w:rPr>
                    <w:t>顾客满意度≥90%；</w:t>
                  </w:r>
                </w:p>
              </w:tc>
              <w:tc>
                <w:tcPr>
                  <w:tcW w:w="838" w:type="dxa"/>
                  <w:shd w:val="clear" w:color="auto" w:fill="auto"/>
                  <w:vAlign w:val="center"/>
                </w:tcPr>
                <w:p>
                  <w:pPr>
                    <w:widowControl/>
                    <w:spacing w:before="40"/>
                    <w:rPr>
                      <w:color w:val="auto"/>
                    </w:rPr>
                  </w:pPr>
                  <w:r>
                    <w:rPr>
                      <w:rFonts w:hint="eastAsia"/>
                      <w:color w:val="auto"/>
                      <w:szCs w:val="21"/>
                    </w:rPr>
                    <w:t>年度</w:t>
                  </w:r>
                </w:p>
              </w:tc>
              <w:tc>
                <w:tcPr>
                  <w:tcW w:w="3698" w:type="dxa"/>
                  <w:shd w:val="clear" w:color="auto" w:fill="auto"/>
                  <w:vAlign w:val="center"/>
                </w:tcPr>
                <w:p>
                  <w:pPr>
                    <w:spacing w:line="360" w:lineRule="exact"/>
                    <w:rPr>
                      <w:color w:val="auto"/>
                      <w:szCs w:val="24"/>
                    </w:rPr>
                  </w:pPr>
                  <w:r>
                    <w:rPr>
                      <w:rFonts w:hint="eastAsia"/>
                      <w:color w:val="auto"/>
                      <w:szCs w:val="21"/>
                    </w:rPr>
                    <w:t>对顾客满意度进行调查，对反映的主要问题及时处置</w:t>
                  </w:r>
                </w:p>
              </w:tc>
              <w:tc>
                <w:tcPr>
                  <w:tcW w:w="1560" w:type="dxa"/>
                  <w:shd w:val="clear" w:color="auto" w:fill="auto"/>
                  <w:vAlign w:val="center"/>
                </w:tcPr>
                <w:p>
                  <w:pPr>
                    <w:widowControl/>
                    <w:spacing w:before="40"/>
                    <w:rPr>
                      <w:color w:val="auto"/>
                    </w:rPr>
                  </w:pPr>
                  <w:r>
                    <w:rPr>
                      <w:rFonts w:hint="eastAsia"/>
                      <w:color w:val="auto"/>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shd w:val="clear" w:color="auto" w:fill="auto"/>
                  <w:vAlign w:val="center"/>
                </w:tcPr>
                <w:p>
                  <w:pPr>
                    <w:spacing w:line="360" w:lineRule="exact"/>
                    <w:rPr>
                      <w:color w:val="auto"/>
                    </w:rPr>
                  </w:pPr>
                  <w:r>
                    <w:rPr>
                      <w:rFonts w:hint="eastAsia"/>
                      <w:color w:val="auto"/>
                      <w:szCs w:val="21"/>
                    </w:rPr>
                    <w:t>合同、招投标评审率100%</w:t>
                  </w:r>
                </w:p>
              </w:tc>
              <w:tc>
                <w:tcPr>
                  <w:tcW w:w="838" w:type="dxa"/>
                  <w:shd w:val="clear" w:color="auto" w:fill="auto"/>
                  <w:vAlign w:val="center"/>
                </w:tcPr>
                <w:p>
                  <w:pPr>
                    <w:widowControl/>
                    <w:spacing w:before="40"/>
                    <w:rPr>
                      <w:color w:val="auto"/>
                    </w:rPr>
                  </w:pPr>
                  <w:r>
                    <w:rPr>
                      <w:rFonts w:hint="eastAsia"/>
                      <w:color w:val="auto"/>
                      <w:szCs w:val="21"/>
                    </w:rPr>
                    <w:t>季度</w:t>
                  </w:r>
                </w:p>
              </w:tc>
              <w:tc>
                <w:tcPr>
                  <w:tcW w:w="3698" w:type="dxa"/>
                  <w:shd w:val="clear" w:color="auto" w:fill="auto"/>
                  <w:vAlign w:val="center"/>
                </w:tcPr>
                <w:p>
                  <w:pPr>
                    <w:spacing w:line="360" w:lineRule="exact"/>
                    <w:rPr>
                      <w:color w:val="auto"/>
                      <w:szCs w:val="24"/>
                    </w:rPr>
                  </w:pPr>
                  <w:r>
                    <w:rPr>
                      <w:rFonts w:hint="eastAsia"/>
                      <w:color w:val="auto"/>
                      <w:szCs w:val="21"/>
                    </w:rPr>
                    <w:t>统计每份合同、招投标陪审是否实施</w:t>
                  </w:r>
                </w:p>
              </w:tc>
              <w:tc>
                <w:tcPr>
                  <w:tcW w:w="1560" w:type="dxa"/>
                  <w:shd w:val="clear" w:color="auto" w:fill="auto"/>
                  <w:vAlign w:val="center"/>
                </w:tcPr>
                <w:p>
                  <w:pPr>
                    <w:widowControl/>
                    <w:spacing w:before="40"/>
                    <w:rPr>
                      <w:color w:val="auto"/>
                    </w:rPr>
                  </w:pPr>
                  <w:r>
                    <w:rPr>
                      <w:rFonts w:hint="eastAsia"/>
                      <w:color w:val="auto"/>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shd w:val="clear" w:color="auto" w:fill="auto"/>
                  <w:vAlign w:val="center"/>
                </w:tcPr>
                <w:p>
                  <w:pPr>
                    <w:spacing w:line="360" w:lineRule="exact"/>
                    <w:rPr>
                      <w:color w:val="auto"/>
                    </w:rPr>
                  </w:pPr>
                  <w:r>
                    <w:rPr>
                      <w:rFonts w:hint="eastAsia"/>
                      <w:color w:val="auto"/>
                      <w:szCs w:val="21"/>
                    </w:rPr>
                    <w:t>合格供方评审率</w:t>
                  </w:r>
                  <w:r>
                    <w:rPr>
                      <w:color w:val="auto"/>
                      <w:szCs w:val="21"/>
                    </w:rPr>
                    <w:t>100</w:t>
                  </w:r>
                  <w:r>
                    <w:rPr>
                      <w:rFonts w:hint="eastAsia"/>
                      <w:color w:val="auto"/>
                      <w:szCs w:val="21"/>
                    </w:rPr>
                    <w:t>％</w:t>
                  </w:r>
                </w:p>
              </w:tc>
              <w:tc>
                <w:tcPr>
                  <w:tcW w:w="838" w:type="dxa"/>
                  <w:shd w:val="clear" w:color="auto" w:fill="auto"/>
                  <w:vAlign w:val="center"/>
                </w:tcPr>
                <w:p>
                  <w:pPr>
                    <w:widowControl/>
                    <w:spacing w:before="40"/>
                    <w:rPr>
                      <w:color w:val="auto"/>
                    </w:rPr>
                  </w:pPr>
                  <w:r>
                    <w:rPr>
                      <w:rFonts w:hint="eastAsia"/>
                      <w:color w:val="auto"/>
                      <w:szCs w:val="21"/>
                    </w:rPr>
                    <w:t>季度</w:t>
                  </w:r>
                </w:p>
              </w:tc>
              <w:tc>
                <w:tcPr>
                  <w:tcW w:w="3698" w:type="dxa"/>
                  <w:shd w:val="clear" w:color="auto" w:fill="auto"/>
                  <w:vAlign w:val="center"/>
                </w:tcPr>
                <w:p>
                  <w:pPr>
                    <w:spacing w:line="360" w:lineRule="exact"/>
                    <w:rPr>
                      <w:color w:val="auto"/>
                      <w:szCs w:val="24"/>
                    </w:rPr>
                  </w:pPr>
                  <w:r>
                    <w:rPr>
                      <w:rFonts w:hint="eastAsia"/>
                      <w:color w:val="auto"/>
                      <w:szCs w:val="21"/>
                    </w:rPr>
                    <w:t>评审供方合格数/供方总数×100%</w:t>
                  </w:r>
                </w:p>
              </w:tc>
              <w:tc>
                <w:tcPr>
                  <w:tcW w:w="1560" w:type="dxa"/>
                  <w:shd w:val="clear" w:color="auto" w:fill="auto"/>
                  <w:vAlign w:val="center"/>
                </w:tcPr>
                <w:p>
                  <w:pPr>
                    <w:widowControl/>
                    <w:spacing w:before="40"/>
                    <w:rPr>
                      <w:color w:val="auto"/>
                    </w:rPr>
                  </w:pPr>
                  <w:r>
                    <w:rPr>
                      <w:rFonts w:hint="eastAsia"/>
                      <w:color w:val="auto"/>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shd w:val="clear" w:color="auto" w:fill="auto"/>
                  <w:vAlign w:val="center"/>
                </w:tcPr>
                <w:p>
                  <w:pPr>
                    <w:spacing w:line="360" w:lineRule="exact"/>
                    <w:rPr>
                      <w:color w:val="auto"/>
                    </w:rPr>
                  </w:pPr>
                  <w:r>
                    <w:rPr>
                      <w:rFonts w:hint="eastAsia"/>
                      <w:color w:val="auto"/>
                      <w:szCs w:val="21"/>
                    </w:rPr>
                    <w:t>文件受控率100%</w:t>
                  </w:r>
                </w:p>
              </w:tc>
              <w:tc>
                <w:tcPr>
                  <w:tcW w:w="838" w:type="dxa"/>
                  <w:shd w:val="clear" w:color="auto" w:fill="auto"/>
                  <w:vAlign w:val="center"/>
                </w:tcPr>
                <w:p>
                  <w:pPr>
                    <w:widowControl/>
                    <w:spacing w:before="40"/>
                    <w:rPr>
                      <w:color w:val="auto"/>
                    </w:rPr>
                  </w:pPr>
                  <w:r>
                    <w:rPr>
                      <w:rFonts w:hint="eastAsia"/>
                      <w:color w:val="auto"/>
                      <w:szCs w:val="21"/>
                    </w:rPr>
                    <w:t>季度</w:t>
                  </w:r>
                </w:p>
              </w:tc>
              <w:tc>
                <w:tcPr>
                  <w:tcW w:w="3698" w:type="dxa"/>
                  <w:shd w:val="clear" w:color="auto" w:fill="auto"/>
                </w:tcPr>
                <w:p>
                  <w:pPr>
                    <w:spacing w:line="360" w:lineRule="exact"/>
                    <w:rPr>
                      <w:color w:val="auto"/>
                      <w:szCs w:val="24"/>
                    </w:rPr>
                  </w:pPr>
                  <w:r>
                    <w:rPr>
                      <w:rFonts w:hint="eastAsia"/>
                      <w:color w:val="auto"/>
                      <w:szCs w:val="21"/>
                    </w:rPr>
                    <w:t>受控文件/所有文件</w:t>
                  </w:r>
                  <w:r>
                    <w:rPr>
                      <w:rFonts w:hint="eastAsia" w:ascii="宋体" w:hAnsi="宋体"/>
                      <w:color w:val="auto"/>
                      <w:szCs w:val="21"/>
                    </w:rPr>
                    <w:t>×</w:t>
                  </w:r>
                  <w:r>
                    <w:rPr>
                      <w:rFonts w:hint="eastAsia"/>
                      <w:color w:val="auto"/>
                      <w:szCs w:val="21"/>
                    </w:rPr>
                    <w:t>100%。</w:t>
                  </w:r>
                </w:p>
              </w:tc>
              <w:tc>
                <w:tcPr>
                  <w:tcW w:w="1560" w:type="dxa"/>
                  <w:shd w:val="clear" w:color="auto" w:fill="auto"/>
                  <w:vAlign w:val="center"/>
                </w:tcPr>
                <w:p>
                  <w:pPr>
                    <w:widowControl/>
                    <w:spacing w:before="40"/>
                    <w:rPr>
                      <w:color w:val="auto"/>
                    </w:rPr>
                  </w:pPr>
                  <w:r>
                    <w:rPr>
                      <w:rFonts w:hint="eastAsia"/>
                      <w:color w:val="auto"/>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shd w:val="clear" w:color="auto" w:fill="auto"/>
                  <w:vAlign w:val="center"/>
                </w:tcPr>
                <w:p>
                  <w:pPr>
                    <w:spacing w:line="360" w:lineRule="exact"/>
                    <w:rPr>
                      <w:color w:val="auto"/>
                    </w:rPr>
                  </w:pPr>
                  <w:r>
                    <w:rPr>
                      <w:rFonts w:hint="eastAsia"/>
                      <w:color w:val="auto"/>
                      <w:szCs w:val="21"/>
                    </w:rPr>
                    <w:t>人员培训覆盖率100%</w:t>
                  </w:r>
                </w:p>
              </w:tc>
              <w:tc>
                <w:tcPr>
                  <w:tcW w:w="838" w:type="dxa"/>
                  <w:shd w:val="clear" w:color="auto" w:fill="auto"/>
                  <w:vAlign w:val="center"/>
                </w:tcPr>
                <w:p>
                  <w:pPr>
                    <w:widowControl/>
                    <w:spacing w:before="40"/>
                    <w:rPr>
                      <w:color w:val="auto"/>
                    </w:rPr>
                  </w:pPr>
                  <w:r>
                    <w:rPr>
                      <w:rFonts w:hint="eastAsia"/>
                      <w:color w:val="auto"/>
                      <w:szCs w:val="21"/>
                    </w:rPr>
                    <w:t>季度</w:t>
                  </w:r>
                </w:p>
              </w:tc>
              <w:tc>
                <w:tcPr>
                  <w:tcW w:w="3698" w:type="dxa"/>
                  <w:shd w:val="clear" w:color="auto" w:fill="auto"/>
                  <w:vAlign w:val="center"/>
                </w:tcPr>
                <w:p>
                  <w:pPr>
                    <w:spacing w:line="360" w:lineRule="exact"/>
                    <w:rPr>
                      <w:color w:val="auto"/>
                      <w:szCs w:val="24"/>
                    </w:rPr>
                  </w:pPr>
                  <w:r>
                    <w:rPr>
                      <w:rFonts w:hint="eastAsia"/>
                      <w:color w:val="auto"/>
                      <w:szCs w:val="21"/>
                    </w:rPr>
                    <w:t>参加培训员工人数/在职员工人数</w:t>
                  </w:r>
                  <w:r>
                    <w:rPr>
                      <w:rFonts w:hint="eastAsia" w:ascii="宋体" w:hAnsi="宋体"/>
                      <w:color w:val="auto"/>
                      <w:szCs w:val="21"/>
                    </w:rPr>
                    <w:t>×</w:t>
                  </w:r>
                  <w:r>
                    <w:rPr>
                      <w:rFonts w:hint="eastAsia"/>
                      <w:color w:val="auto"/>
                      <w:szCs w:val="21"/>
                    </w:rPr>
                    <w:t>100%</w:t>
                  </w:r>
                </w:p>
              </w:tc>
              <w:tc>
                <w:tcPr>
                  <w:tcW w:w="1560" w:type="dxa"/>
                  <w:shd w:val="clear" w:color="auto" w:fill="auto"/>
                  <w:vAlign w:val="center"/>
                </w:tcPr>
                <w:p>
                  <w:pPr>
                    <w:widowControl/>
                    <w:spacing w:before="40"/>
                    <w:rPr>
                      <w:color w:val="auto"/>
                    </w:rPr>
                  </w:pPr>
                  <w:r>
                    <w:rPr>
                      <w:rFonts w:hint="eastAsia"/>
                      <w:color w:val="auto"/>
                    </w:rPr>
                    <w:t>完成</w:t>
                  </w:r>
                </w:p>
              </w:tc>
            </w:tr>
          </w:tbl>
          <w:p>
            <w:pPr>
              <w:rPr>
                <w:color w:val="auto"/>
              </w:rPr>
            </w:pPr>
            <w:r>
              <w:rPr>
                <w:rFonts w:hint="eastAsia"/>
                <w:color w:val="auto"/>
              </w:rPr>
              <w:sym w:font="Wingdings" w:char="00FE"/>
            </w:r>
            <w:r>
              <w:rPr>
                <w:rFonts w:hint="eastAsia"/>
                <w:color w:val="auto"/>
              </w:rPr>
              <w:t>目标已实现</w:t>
            </w:r>
          </w:p>
          <w:p>
            <w:pPr>
              <w:rPr>
                <w:color w:val="auto"/>
              </w:rPr>
            </w:pPr>
            <w:r>
              <w:rPr>
                <w:rFonts w:hint="eastAsia"/>
                <w:color w:val="auto"/>
              </w:rPr>
              <w:sym w:font="Wingdings" w:char="00A8"/>
            </w:r>
            <w:r>
              <w:rPr>
                <w:rFonts w:hint="eastAsia"/>
                <w:color w:val="auto"/>
              </w:rPr>
              <w:t>目标没有实现的，组织在内部及时进行原因分析并采取了改进措施。</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160" w:type="dxa"/>
            <w:vMerge w:val="restart"/>
          </w:tcPr>
          <w:p>
            <w:pPr>
              <w:rPr>
                <w:color w:val="auto"/>
              </w:rPr>
            </w:pPr>
            <w:r>
              <w:rPr>
                <w:rFonts w:hint="eastAsia"/>
                <w:color w:val="auto"/>
              </w:rPr>
              <w:t>变更的策划</w:t>
            </w:r>
          </w:p>
        </w:tc>
        <w:tc>
          <w:tcPr>
            <w:tcW w:w="960" w:type="dxa"/>
            <w:vMerge w:val="restart"/>
          </w:tcPr>
          <w:p>
            <w:pPr>
              <w:rPr>
                <w:rFonts w:hint="eastAsia"/>
                <w:color w:val="auto"/>
              </w:rPr>
            </w:pPr>
            <w:r>
              <w:rPr>
                <w:rFonts w:hint="eastAsia"/>
                <w:color w:val="auto"/>
              </w:rPr>
              <w:t>Q</w:t>
            </w:r>
            <w:r>
              <w:rPr>
                <w:color w:val="auto"/>
              </w:rPr>
              <w:t xml:space="preserve"> 6.</w:t>
            </w:r>
            <w:r>
              <w:rPr>
                <w:rFonts w:hint="eastAsia"/>
                <w:color w:val="auto"/>
              </w:rPr>
              <w:t>3</w:t>
            </w:r>
          </w:p>
        </w:tc>
        <w:tc>
          <w:tcPr>
            <w:tcW w:w="745" w:type="dxa"/>
          </w:tcPr>
          <w:p>
            <w:pPr>
              <w:rPr>
                <w:rFonts w:hint="eastAsia"/>
                <w:color w:val="auto"/>
              </w:rPr>
            </w:pPr>
            <w:r>
              <w:rPr>
                <w:rFonts w:hint="eastAsia"/>
                <w:color w:val="auto"/>
              </w:rPr>
              <w:t>文件名称</w:t>
            </w:r>
          </w:p>
        </w:tc>
        <w:tc>
          <w:tcPr>
            <w:tcW w:w="9259"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如：手册第6.3条款、</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Merge w:val="continue"/>
          </w:tcPr>
          <w:p>
            <w:pPr>
              <w:rPr>
                <w:color w:val="auto"/>
              </w:rPr>
            </w:pPr>
          </w:p>
        </w:tc>
        <w:tc>
          <w:tcPr>
            <w:tcW w:w="960" w:type="dxa"/>
            <w:vMerge w:val="continue"/>
          </w:tcPr>
          <w:p>
            <w:pPr>
              <w:rPr>
                <w:color w:val="auto"/>
              </w:rPr>
            </w:pPr>
          </w:p>
        </w:tc>
        <w:tc>
          <w:tcPr>
            <w:tcW w:w="745" w:type="dxa"/>
          </w:tcPr>
          <w:p>
            <w:pPr>
              <w:rPr>
                <w:rFonts w:hint="eastAsia"/>
                <w:color w:val="auto"/>
              </w:rPr>
            </w:pPr>
            <w:r>
              <w:rPr>
                <w:rFonts w:hint="eastAsia"/>
                <w:color w:val="auto"/>
              </w:rPr>
              <w:t>运行证据</w:t>
            </w:r>
          </w:p>
        </w:tc>
        <w:tc>
          <w:tcPr>
            <w:tcW w:w="9259" w:type="dxa"/>
            <w:vAlign w:val="top"/>
          </w:tcPr>
          <w:p>
            <w:pPr>
              <w:rPr>
                <w:color w:val="auto"/>
              </w:rPr>
            </w:pPr>
            <w:r>
              <w:rPr>
                <w:rFonts w:hint="eastAsia"/>
                <w:color w:val="auto"/>
              </w:rPr>
              <w:t xml:space="preserve"> 组织对相关管理体系进行变更时，变更应按所策划的方式实施；审核周期内的重大变更有：</w:t>
            </w:r>
          </w:p>
          <w:p>
            <w:pPr>
              <w:spacing w:before="40" w:after="40"/>
              <w:rPr>
                <w:color w:val="auto"/>
              </w:rPr>
            </w:pPr>
            <w:r>
              <w:rPr>
                <w:rFonts w:hint="eastAsia"/>
                <w:color w:val="auto"/>
              </w:rPr>
              <w:t xml:space="preserve">□组织结构变更 □部门职责变更 □主要原材料 □关键人员 □生产工艺/服务流程 </w:t>
            </w:r>
          </w:p>
          <w:p>
            <w:pPr>
              <w:spacing w:before="40" w:after="40"/>
              <w:rPr>
                <w:color w:val="auto"/>
              </w:rPr>
            </w:pPr>
            <w:r>
              <w:rPr>
                <w:rFonts w:hint="eastAsia"/>
                <w:color w:val="auto"/>
              </w:rPr>
              <w:t>□主要设备设施 □主要检测设备 ☑无变更</w:t>
            </w:r>
          </w:p>
          <w:tbl>
            <w:tblPr>
              <w:tblStyle w:val="8"/>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294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rPr>
                      <w:color w:val="auto"/>
                    </w:rPr>
                  </w:pPr>
                  <w:r>
                    <w:rPr>
                      <w:rFonts w:hint="eastAsia"/>
                      <w:color w:val="auto"/>
                    </w:rPr>
                    <w:t>体系变更的内容说明</w:t>
                  </w:r>
                </w:p>
              </w:tc>
              <w:tc>
                <w:tcPr>
                  <w:tcW w:w="2942" w:type="dxa"/>
                </w:tcPr>
                <w:p>
                  <w:pPr>
                    <w:rPr>
                      <w:color w:val="auto"/>
                    </w:rPr>
                  </w:pPr>
                  <w:r>
                    <w:rPr>
                      <w:rFonts w:hint="eastAsia"/>
                      <w:color w:val="auto"/>
                    </w:rPr>
                    <w:t>无</w:t>
                  </w:r>
                </w:p>
              </w:tc>
              <w:tc>
                <w:tcPr>
                  <w:tcW w:w="301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vAlign w:val="center"/>
                </w:tcPr>
                <w:p>
                  <w:pPr>
                    <w:jc w:val="center"/>
                    <w:rPr>
                      <w:color w:val="auto"/>
                    </w:rPr>
                  </w:pPr>
                  <w:r>
                    <w:rPr>
                      <w:rFonts w:hint="eastAsia"/>
                      <w:color w:val="auto"/>
                    </w:rPr>
                    <w:t>评价内容</w:t>
                  </w:r>
                </w:p>
              </w:tc>
              <w:tc>
                <w:tcPr>
                  <w:tcW w:w="2942" w:type="dxa"/>
                  <w:vAlign w:val="center"/>
                </w:tcPr>
                <w:p>
                  <w:pPr>
                    <w:jc w:val="center"/>
                    <w:rPr>
                      <w:color w:val="auto"/>
                    </w:rPr>
                  </w:pPr>
                  <w:r>
                    <w:rPr>
                      <w:rFonts w:hint="eastAsia"/>
                      <w:color w:val="auto"/>
                    </w:rPr>
                    <w:t>评价具体描述</w:t>
                  </w:r>
                </w:p>
              </w:tc>
              <w:tc>
                <w:tcPr>
                  <w:tcW w:w="3015" w:type="dxa"/>
                  <w:vAlign w:val="center"/>
                </w:tcPr>
                <w:p>
                  <w:pPr>
                    <w:jc w:val="center"/>
                    <w:rPr>
                      <w:color w:val="auto"/>
                    </w:rPr>
                  </w:pPr>
                  <w:r>
                    <w:rPr>
                      <w:rFonts w:hint="eastAsia"/>
                      <w:color w:val="auto"/>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rPr>
                      <w:color w:val="auto"/>
                    </w:rPr>
                  </w:pPr>
                  <w:r>
                    <w:rPr>
                      <w:rFonts w:hint="eastAsia"/>
                      <w:color w:val="auto"/>
                    </w:rPr>
                    <w:t>变更目的</w:t>
                  </w:r>
                </w:p>
              </w:tc>
              <w:tc>
                <w:tcPr>
                  <w:tcW w:w="2942" w:type="dxa"/>
                </w:tcPr>
                <w:p>
                  <w:pPr>
                    <w:rPr>
                      <w:rFonts w:hint="eastAsia" w:eastAsia="宋体"/>
                      <w:color w:val="auto"/>
                      <w:lang w:eastAsia="zh-CN"/>
                    </w:rPr>
                  </w:pPr>
                  <w:r>
                    <w:rPr>
                      <w:rFonts w:hint="eastAsia"/>
                      <w:color w:val="auto"/>
                      <w:lang w:eastAsia="zh-CN"/>
                    </w:rPr>
                    <w:t>不适用</w:t>
                  </w:r>
                </w:p>
              </w:tc>
              <w:tc>
                <w:tcPr>
                  <w:tcW w:w="3015" w:type="dxa"/>
                </w:tcPr>
                <w:p>
                  <w:pPr>
                    <w:rPr>
                      <w:color w:val="auto"/>
                    </w:rPr>
                  </w:pPr>
                  <w:r>
                    <w:rPr>
                      <w:rFonts w:hint="eastAsia"/>
                      <w:color w:val="auto"/>
                    </w:rPr>
                    <w:sym w:font="Wingdings" w:char="00A8"/>
                  </w:r>
                  <w:r>
                    <w:rPr>
                      <w:rFonts w:hint="eastAsia"/>
                      <w:color w:val="auto"/>
                    </w:rPr>
                    <w:t xml:space="preserve">可以满足    </w:t>
                  </w:r>
                  <w:r>
                    <w:rPr>
                      <w:rFonts w:hint="eastAsia"/>
                      <w:color w:val="auto"/>
                    </w:rPr>
                    <w:sym w:font="Wingdings" w:char="00A8"/>
                  </w:r>
                  <w:r>
                    <w:rPr>
                      <w:rFonts w:hint="eastAsia"/>
                      <w:color w:val="auto"/>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rPr>
                      <w:color w:val="auto"/>
                    </w:rPr>
                  </w:pPr>
                  <w:r>
                    <w:rPr>
                      <w:rFonts w:hint="eastAsia"/>
                      <w:color w:val="auto"/>
                    </w:rPr>
                    <w:t>其潜在后果</w:t>
                  </w:r>
                </w:p>
              </w:tc>
              <w:tc>
                <w:tcPr>
                  <w:tcW w:w="2942" w:type="dxa"/>
                </w:tcPr>
                <w:p>
                  <w:pPr>
                    <w:rPr>
                      <w:color w:val="auto"/>
                    </w:rPr>
                  </w:pPr>
                  <w:r>
                    <w:rPr>
                      <w:rFonts w:hint="eastAsia"/>
                      <w:color w:val="auto"/>
                      <w:lang w:eastAsia="zh-CN"/>
                    </w:rPr>
                    <w:t>不适用</w:t>
                  </w:r>
                </w:p>
              </w:tc>
              <w:tc>
                <w:tcPr>
                  <w:tcW w:w="3015" w:type="dxa"/>
                </w:tcPr>
                <w:p>
                  <w:pPr>
                    <w:rPr>
                      <w:color w:val="auto"/>
                    </w:rPr>
                  </w:pPr>
                  <w:r>
                    <w:rPr>
                      <w:rFonts w:hint="eastAsia"/>
                      <w:color w:val="auto"/>
                    </w:rPr>
                    <w:sym w:font="Wingdings" w:char="00A8"/>
                  </w:r>
                  <w:r>
                    <w:rPr>
                      <w:rFonts w:hint="eastAsia"/>
                      <w:color w:val="auto"/>
                    </w:rPr>
                    <w:t xml:space="preserve">可以满足    </w:t>
                  </w:r>
                  <w:r>
                    <w:rPr>
                      <w:rFonts w:hint="eastAsia"/>
                      <w:color w:val="auto"/>
                    </w:rPr>
                    <w:sym w:font="Wingdings" w:char="00A8"/>
                  </w:r>
                  <w:r>
                    <w:rPr>
                      <w:rFonts w:hint="eastAsia"/>
                      <w:color w:val="auto"/>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rPr>
                      <w:color w:val="auto"/>
                    </w:rPr>
                  </w:pPr>
                  <w:r>
                    <w:rPr>
                      <w:rFonts w:hint="eastAsia"/>
                      <w:color w:val="auto"/>
                    </w:rPr>
                    <w:t>质量管理体系的完整性</w:t>
                  </w:r>
                </w:p>
              </w:tc>
              <w:tc>
                <w:tcPr>
                  <w:tcW w:w="2942" w:type="dxa"/>
                </w:tcPr>
                <w:p>
                  <w:pPr>
                    <w:rPr>
                      <w:color w:val="auto"/>
                    </w:rPr>
                  </w:pPr>
                  <w:r>
                    <w:rPr>
                      <w:rFonts w:hint="eastAsia"/>
                      <w:color w:val="auto"/>
                      <w:lang w:eastAsia="zh-CN"/>
                    </w:rPr>
                    <w:t>不适用</w:t>
                  </w:r>
                </w:p>
              </w:tc>
              <w:tc>
                <w:tcPr>
                  <w:tcW w:w="3015" w:type="dxa"/>
                </w:tcPr>
                <w:p>
                  <w:pPr>
                    <w:rPr>
                      <w:color w:val="auto"/>
                    </w:rPr>
                  </w:pPr>
                  <w:r>
                    <w:rPr>
                      <w:rFonts w:hint="eastAsia"/>
                      <w:color w:val="auto"/>
                    </w:rPr>
                    <w:sym w:font="Wingdings" w:char="00A8"/>
                  </w:r>
                  <w:r>
                    <w:rPr>
                      <w:rFonts w:hint="eastAsia"/>
                      <w:color w:val="auto"/>
                    </w:rPr>
                    <w:t xml:space="preserve">可以满足    </w:t>
                  </w:r>
                  <w:r>
                    <w:rPr>
                      <w:rFonts w:hint="eastAsia"/>
                      <w:color w:val="auto"/>
                    </w:rPr>
                    <w:sym w:font="Wingdings" w:char="00A8"/>
                  </w:r>
                  <w:r>
                    <w:rPr>
                      <w:rFonts w:hint="eastAsia"/>
                      <w:color w:val="auto"/>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rPr>
                      <w:color w:val="auto"/>
                    </w:rPr>
                  </w:pPr>
                  <w:r>
                    <w:rPr>
                      <w:rFonts w:hint="eastAsia"/>
                      <w:color w:val="auto"/>
                    </w:rPr>
                    <w:t>资源的可获得性</w:t>
                  </w:r>
                </w:p>
              </w:tc>
              <w:tc>
                <w:tcPr>
                  <w:tcW w:w="2942" w:type="dxa"/>
                </w:tcPr>
                <w:p>
                  <w:pPr>
                    <w:rPr>
                      <w:color w:val="auto"/>
                    </w:rPr>
                  </w:pPr>
                  <w:r>
                    <w:rPr>
                      <w:rFonts w:hint="eastAsia"/>
                      <w:color w:val="auto"/>
                      <w:lang w:eastAsia="zh-CN"/>
                    </w:rPr>
                    <w:t>不适用</w:t>
                  </w:r>
                </w:p>
              </w:tc>
              <w:tc>
                <w:tcPr>
                  <w:tcW w:w="3015" w:type="dxa"/>
                </w:tcPr>
                <w:p>
                  <w:pPr>
                    <w:rPr>
                      <w:color w:val="auto"/>
                    </w:rPr>
                  </w:pPr>
                  <w:r>
                    <w:rPr>
                      <w:rFonts w:hint="eastAsia"/>
                      <w:color w:val="auto"/>
                    </w:rPr>
                    <w:sym w:font="Wingdings" w:char="00A8"/>
                  </w:r>
                  <w:r>
                    <w:rPr>
                      <w:rFonts w:hint="eastAsia"/>
                      <w:color w:val="auto"/>
                    </w:rPr>
                    <w:t xml:space="preserve">可以满足    </w:t>
                  </w:r>
                  <w:r>
                    <w:rPr>
                      <w:rFonts w:hint="eastAsia"/>
                      <w:color w:val="auto"/>
                    </w:rPr>
                    <w:sym w:font="Wingdings" w:char="00A8"/>
                  </w:r>
                  <w:r>
                    <w:rPr>
                      <w:rFonts w:hint="eastAsia"/>
                      <w:color w:val="auto"/>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rPr>
                      <w:color w:val="auto"/>
                    </w:rPr>
                  </w:pPr>
                  <w:r>
                    <w:rPr>
                      <w:rFonts w:hint="eastAsia"/>
                      <w:color w:val="auto"/>
                    </w:rPr>
                    <w:t>职责和权限的分配或再分配</w:t>
                  </w:r>
                </w:p>
              </w:tc>
              <w:tc>
                <w:tcPr>
                  <w:tcW w:w="2942" w:type="dxa"/>
                </w:tcPr>
                <w:p>
                  <w:pPr>
                    <w:rPr>
                      <w:color w:val="auto"/>
                    </w:rPr>
                  </w:pPr>
                  <w:r>
                    <w:rPr>
                      <w:rFonts w:hint="eastAsia"/>
                      <w:color w:val="auto"/>
                      <w:lang w:eastAsia="zh-CN"/>
                    </w:rPr>
                    <w:t>不适用</w:t>
                  </w:r>
                </w:p>
              </w:tc>
              <w:tc>
                <w:tcPr>
                  <w:tcW w:w="3015" w:type="dxa"/>
                </w:tcPr>
                <w:p>
                  <w:pPr>
                    <w:rPr>
                      <w:color w:val="auto"/>
                    </w:rPr>
                  </w:pPr>
                  <w:r>
                    <w:rPr>
                      <w:rFonts w:hint="eastAsia"/>
                      <w:color w:val="auto"/>
                    </w:rPr>
                    <w:sym w:font="Wingdings" w:char="00A8"/>
                  </w:r>
                  <w:r>
                    <w:rPr>
                      <w:rFonts w:hint="eastAsia"/>
                      <w:color w:val="auto"/>
                    </w:rPr>
                    <w:t xml:space="preserve">可以满足    </w:t>
                  </w:r>
                  <w:r>
                    <w:rPr>
                      <w:rFonts w:hint="eastAsia"/>
                      <w:color w:val="auto"/>
                    </w:rPr>
                    <w:sym w:font="Wingdings" w:char="00A8"/>
                  </w:r>
                  <w:r>
                    <w:rPr>
                      <w:rFonts w:hint="eastAsia"/>
                      <w:color w:val="auto"/>
                    </w:rPr>
                    <w:t>不可以满足</w:t>
                  </w:r>
                </w:p>
              </w:tc>
            </w:tr>
          </w:tbl>
          <w:p>
            <w:pPr>
              <w:pStyle w:val="2"/>
              <w:rPr>
                <w:rFonts w:hint="eastAsia" w:ascii="Times New Roman" w:hAnsi="Times New Roman" w:eastAsia="宋体" w:cs="Times New Roman"/>
                <w:bCs/>
                <w:color w:val="auto"/>
                <w:spacing w:val="10"/>
                <w:kern w:val="2"/>
                <w:sz w:val="21"/>
                <w:lang w:val="en-US" w:eastAsia="zh-CN" w:bidi="ar-SA"/>
              </w:rPr>
            </w:pPr>
          </w:p>
        </w:tc>
        <w:tc>
          <w:tcPr>
            <w:tcW w:w="1585" w:type="dxa"/>
            <w:vMerge w:val="continue"/>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0" w:type="dxa"/>
            <w:vMerge w:val="restart"/>
          </w:tcPr>
          <w:p>
            <w:pPr>
              <w:rPr>
                <w:color w:val="auto"/>
              </w:rPr>
            </w:pPr>
            <w:r>
              <w:rPr>
                <w:rFonts w:hint="eastAsia"/>
                <w:color w:val="auto"/>
              </w:rPr>
              <w:t>资源（总则）</w:t>
            </w:r>
          </w:p>
        </w:tc>
        <w:tc>
          <w:tcPr>
            <w:tcW w:w="960" w:type="dxa"/>
            <w:vMerge w:val="restart"/>
          </w:tcPr>
          <w:p>
            <w:pPr>
              <w:rPr>
                <w:color w:val="auto"/>
              </w:rPr>
            </w:pPr>
            <w:r>
              <w:rPr>
                <w:color w:val="auto"/>
                <w:szCs w:val="21"/>
              </w:rPr>
              <w:t xml:space="preserve">Q </w:t>
            </w:r>
            <w:r>
              <w:rPr>
                <w:rFonts w:hint="eastAsia"/>
                <w:color w:val="auto"/>
                <w:szCs w:val="21"/>
              </w:rPr>
              <w:t>7.1 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如：手册第7.1条款、</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szCs w:val="21"/>
              </w:rPr>
            </w:pPr>
            <w:r>
              <w:rPr>
                <w:rFonts w:hint="eastAsia"/>
                <w:color w:val="auto"/>
                <w:szCs w:val="21"/>
              </w:rPr>
              <w:t xml:space="preserve">和最高管理层确定并提供所需的资源，以建立、实施、保持和持续改进质量管理体系。 </w:t>
            </w:r>
          </w:p>
          <w:p>
            <w:pPr>
              <w:numPr>
                <w:ilvl w:val="0"/>
                <w:numId w:val="1"/>
              </w:numPr>
              <w:ind w:firstLine="420" w:firstLineChars="200"/>
              <w:rPr>
                <w:color w:val="auto"/>
              </w:rPr>
            </w:pPr>
            <w:r>
              <w:rPr>
                <w:rFonts w:hint="eastAsia"/>
                <w:color w:val="auto"/>
                <w:szCs w:val="21"/>
              </w:rPr>
              <w:t>现有内部资源的能力；</w:t>
            </w:r>
            <w:r>
              <w:rPr>
                <w:rFonts w:hint="eastAsia"/>
                <w:color w:val="auto"/>
              </w:rPr>
              <w:t>建筑面积</w:t>
            </w:r>
            <w:r>
              <w:rPr>
                <w:rFonts w:hint="eastAsia"/>
                <w:color w:val="auto"/>
                <w:u w:val="single"/>
              </w:rPr>
              <w:t xml:space="preserve"> 400 </w:t>
            </w:r>
            <w:r>
              <w:rPr>
                <w:rFonts w:hint="eastAsia"/>
                <w:color w:val="auto"/>
              </w:rPr>
              <w:t>平方米。</w:t>
            </w:r>
          </w:p>
          <w:p>
            <w:pPr>
              <w:widowControl/>
              <w:spacing w:before="40"/>
              <w:jc w:val="left"/>
              <w:rPr>
                <w:color w:val="auto"/>
              </w:rPr>
            </w:pPr>
          </w:p>
          <w:p>
            <w:pPr>
              <w:widowControl/>
              <w:spacing w:before="40"/>
              <w:jc w:val="left"/>
              <w:rPr>
                <w:color w:val="auto"/>
              </w:rPr>
            </w:pPr>
            <w:r>
              <w:rPr>
                <w:rFonts w:hint="eastAsia"/>
                <w:color w:val="auto"/>
              </w:rPr>
              <w:t>动力设施和辅助设施的状况，存在下列的场所：</w:t>
            </w:r>
          </w:p>
          <w:p>
            <w:pPr>
              <w:widowControl/>
              <w:spacing w:before="40"/>
              <w:ind w:firstLine="210" w:firstLineChars="100"/>
              <w:jc w:val="left"/>
              <w:rPr>
                <w:color w:val="auto"/>
              </w:rPr>
            </w:pPr>
            <w:r>
              <w:rPr>
                <w:color w:val="auto"/>
              </w:rPr>
              <w:sym w:font="Wingdings" w:char="00A8"/>
            </w:r>
            <w:r>
              <w:rPr>
                <w:rFonts w:hint="eastAsia"/>
                <w:color w:val="auto"/>
              </w:rPr>
              <w:t xml:space="preserve">污水处理站  </w:t>
            </w:r>
            <w:r>
              <w:rPr>
                <w:color w:val="auto"/>
              </w:rPr>
              <w:sym w:font="Wingdings" w:char="00A8"/>
            </w:r>
            <w:r>
              <w:rPr>
                <w:rFonts w:hint="eastAsia"/>
                <w:color w:val="auto"/>
              </w:rPr>
              <w:t xml:space="preserve">锅炉房  </w:t>
            </w:r>
            <w:r>
              <w:rPr>
                <w:color w:val="auto"/>
              </w:rPr>
              <w:sym w:font="Wingdings" w:char="00A8"/>
            </w:r>
            <w:r>
              <w:rPr>
                <w:rFonts w:hint="eastAsia"/>
                <w:color w:val="auto"/>
              </w:rPr>
              <w:t xml:space="preserve">高压配电室  </w:t>
            </w:r>
            <w:r>
              <w:rPr>
                <w:color w:val="auto"/>
              </w:rPr>
              <w:sym w:font="Wingdings" w:char="00A8"/>
            </w:r>
            <w:r>
              <w:rPr>
                <w:rFonts w:hint="eastAsia"/>
                <w:color w:val="auto"/>
              </w:rPr>
              <w:t xml:space="preserve">低压配电室 </w:t>
            </w:r>
            <w:r>
              <w:rPr>
                <w:color w:val="auto"/>
              </w:rPr>
              <w:t xml:space="preserve"> </w:t>
            </w:r>
            <w:r>
              <w:rPr>
                <w:rFonts w:hint="eastAsia"/>
                <w:color w:val="auto"/>
              </w:rPr>
              <w:t xml:space="preserve"> </w:t>
            </w:r>
            <w:r>
              <w:rPr>
                <w:color w:val="auto"/>
              </w:rPr>
              <w:sym w:font="Wingdings" w:char="00A8"/>
            </w:r>
            <w:r>
              <w:rPr>
                <w:rFonts w:hint="eastAsia"/>
                <w:color w:val="auto"/>
              </w:rPr>
              <w:t xml:space="preserve">消防中控室 </w:t>
            </w:r>
            <w:r>
              <w:rPr>
                <w:color w:val="auto"/>
              </w:rPr>
              <w:t xml:space="preserve"> </w:t>
            </w:r>
            <w:r>
              <w:rPr>
                <w:color w:val="auto"/>
              </w:rPr>
              <w:sym w:font="Wingdings" w:char="00A8"/>
            </w:r>
            <w:r>
              <w:rPr>
                <w:rFonts w:hint="eastAsia"/>
                <w:color w:val="auto"/>
              </w:rPr>
              <w:t>消防泵房</w:t>
            </w:r>
          </w:p>
          <w:p>
            <w:pPr>
              <w:widowControl/>
              <w:spacing w:before="40"/>
              <w:ind w:left="210" w:leftChars="100"/>
              <w:jc w:val="left"/>
              <w:rPr>
                <w:color w:val="auto"/>
              </w:rPr>
            </w:pPr>
            <w:r>
              <w:rPr>
                <w:color w:val="auto"/>
              </w:rPr>
              <w:sym w:font="Wingdings" w:char="00A8"/>
            </w:r>
            <w:r>
              <w:rPr>
                <w:rFonts w:hint="eastAsia"/>
                <w:color w:val="auto"/>
              </w:rPr>
              <w:t xml:space="preserve">危险废弃物存放处   </w:t>
            </w:r>
            <w:r>
              <w:rPr>
                <w:color w:val="auto"/>
              </w:rPr>
              <w:sym w:font="Wingdings" w:char="00A8"/>
            </w:r>
            <w:r>
              <w:rPr>
                <w:rFonts w:hint="eastAsia"/>
                <w:color w:val="auto"/>
              </w:rPr>
              <w:t xml:space="preserve">改建/扩建施工现场 </w:t>
            </w:r>
            <w:r>
              <w:rPr>
                <w:color w:val="auto"/>
              </w:rPr>
              <w:t xml:space="preserve">  </w:t>
            </w:r>
            <w:r>
              <w:rPr>
                <w:color w:val="auto"/>
              </w:rPr>
              <w:sym w:font="Wingdings" w:char="00A8"/>
            </w:r>
            <w:r>
              <w:rPr>
                <w:rFonts w:hint="eastAsia"/>
                <w:color w:val="auto"/>
              </w:rPr>
              <w:t xml:space="preserve">食堂  </w:t>
            </w:r>
            <w:r>
              <w:rPr>
                <w:color w:val="auto"/>
              </w:rPr>
              <w:sym w:font="Wingdings" w:char="00A8"/>
            </w:r>
            <w:r>
              <w:rPr>
                <w:rFonts w:hint="eastAsia"/>
                <w:color w:val="auto"/>
              </w:rPr>
              <w:t xml:space="preserve">宿舍  </w:t>
            </w:r>
            <w:r>
              <w:rPr>
                <w:color w:val="auto"/>
              </w:rPr>
              <w:sym w:font="Wingdings" w:char="00A8"/>
            </w:r>
            <w:r>
              <w:rPr>
                <w:rFonts w:hint="eastAsia"/>
                <w:color w:val="auto"/>
              </w:rPr>
              <w:t xml:space="preserve">班车  </w:t>
            </w:r>
            <w:r>
              <w:rPr>
                <w:color w:val="auto"/>
              </w:rPr>
              <w:sym w:font="Wingdings" w:char="00A8"/>
            </w:r>
            <w:r>
              <w:rPr>
                <w:rFonts w:hint="eastAsia"/>
                <w:color w:val="auto"/>
              </w:rPr>
              <w:t xml:space="preserve">其他—— </w:t>
            </w:r>
          </w:p>
          <w:p>
            <w:pPr>
              <w:rPr>
                <w:color w:val="auto"/>
              </w:rPr>
            </w:pPr>
          </w:p>
          <w:p>
            <w:pPr>
              <w:rPr>
                <w:color w:val="auto"/>
                <w:u w:val="single"/>
              </w:rPr>
            </w:pPr>
            <w:r>
              <w:rPr>
                <w:rFonts w:hint="eastAsia"/>
                <w:color w:val="auto"/>
              </w:rPr>
              <w:t>主要生产设备有：</w:t>
            </w:r>
            <w:r>
              <w:rPr>
                <w:rFonts w:hint="eastAsia"/>
                <w:color w:val="auto"/>
                <w:u w:val="single"/>
              </w:rPr>
              <w:t xml:space="preserve">  液压千斤顶、牵引钢丝绳、导线牵引套、放线滑车  （列举2~4种）</w:t>
            </w:r>
          </w:p>
          <w:p>
            <w:pPr>
              <w:rPr>
                <w:color w:val="auto"/>
              </w:rPr>
            </w:pPr>
            <w:r>
              <w:rPr>
                <w:rFonts w:hint="eastAsia"/>
                <w:color w:val="auto"/>
              </w:rPr>
              <w:t>特种设备：</w:t>
            </w:r>
            <w:r>
              <w:rPr>
                <w:rFonts w:hint="eastAsia"/>
                <w:color w:val="auto"/>
              </w:rPr>
              <w:sym w:font="Wingdings" w:char="00A8"/>
            </w:r>
            <w:r>
              <w:rPr>
                <w:rFonts w:hint="eastAsia"/>
                <w:color w:val="auto"/>
              </w:rPr>
              <w:t xml:space="preserve">叉车 </w:t>
            </w:r>
            <w:r>
              <w:rPr>
                <w:rFonts w:hint="eastAsia"/>
                <w:color w:val="auto"/>
              </w:rPr>
              <w:sym w:font="Wingdings" w:char="00A8"/>
            </w:r>
            <w:r>
              <w:rPr>
                <w:rFonts w:hint="eastAsia"/>
                <w:color w:val="auto"/>
              </w:rPr>
              <w:t xml:space="preserve">行车 </w:t>
            </w:r>
            <w:r>
              <w:rPr>
                <w:rFonts w:hint="eastAsia"/>
                <w:color w:val="auto"/>
              </w:rPr>
              <w:sym w:font="Wingdings" w:char="00A8"/>
            </w:r>
            <w:r>
              <w:rPr>
                <w:rFonts w:hint="eastAsia"/>
                <w:color w:val="auto"/>
              </w:rPr>
              <w:t xml:space="preserve">锅炉 </w:t>
            </w:r>
            <w:r>
              <w:rPr>
                <w:rFonts w:hint="eastAsia"/>
                <w:color w:val="auto"/>
              </w:rPr>
              <w:sym w:font="Wingdings" w:char="00A8"/>
            </w:r>
            <w:r>
              <w:rPr>
                <w:rFonts w:hint="eastAsia"/>
                <w:color w:val="auto"/>
              </w:rPr>
              <w:t xml:space="preserve">电梯  </w:t>
            </w:r>
            <w:r>
              <w:rPr>
                <w:rFonts w:hint="eastAsia"/>
                <w:color w:val="auto"/>
              </w:rPr>
              <w:sym w:font="Wingdings" w:char="00A8"/>
            </w:r>
            <w:r>
              <w:rPr>
                <w:rFonts w:hint="eastAsia"/>
                <w:color w:val="auto"/>
              </w:rPr>
              <w:t xml:space="preserve">压力容器  </w:t>
            </w:r>
            <w:r>
              <w:rPr>
                <w:rFonts w:hint="eastAsia"/>
                <w:color w:val="auto"/>
              </w:rPr>
              <w:sym w:font="Wingdings" w:char="00A8"/>
            </w:r>
            <w:r>
              <w:rPr>
                <w:rFonts w:hint="eastAsia"/>
                <w:color w:val="auto"/>
              </w:rPr>
              <w:t xml:space="preserve">压力管道  </w:t>
            </w:r>
            <w:r>
              <w:rPr>
                <w:rFonts w:hint="eastAsia"/>
                <w:color w:val="auto"/>
              </w:rPr>
              <w:sym w:font="Wingdings" w:char="00FE"/>
            </w:r>
            <w:r>
              <w:rPr>
                <w:rFonts w:hint="eastAsia"/>
                <w:color w:val="auto"/>
              </w:rPr>
              <w:t xml:space="preserve">不适用  </w:t>
            </w:r>
          </w:p>
          <w:p>
            <w:pPr>
              <w:rPr>
                <w:color w:val="auto"/>
                <w:u w:val="single"/>
              </w:rPr>
            </w:pPr>
            <w:r>
              <w:rPr>
                <w:rFonts w:hint="eastAsia"/>
                <w:color w:val="auto"/>
              </w:rPr>
              <w:t>特种设备管理：</w:t>
            </w:r>
            <w:r>
              <w:rPr>
                <w:rFonts w:hint="eastAsia"/>
                <w:color w:val="auto"/>
              </w:rPr>
              <w:sym w:font="Wingdings" w:char="00A8"/>
            </w:r>
            <w:r>
              <w:rPr>
                <w:rFonts w:hint="eastAsia"/>
                <w:color w:val="auto"/>
              </w:rPr>
              <w:t xml:space="preserve">进行了定期检验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p>
          <w:p>
            <w:pPr>
              <w:rPr>
                <w:color w:val="auto"/>
                <w:szCs w:val="21"/>
              </w:rPr>
            </w:pPr>
            <w:r>
              <w:rPr>
                <w:rFonts w:hint="eastAsia"/>
                <w:color w:val="auto"/>
                <w:szCs w:val="21"/>
              </w:rPr>
              <w:t>还存在哪些局限和不足：</w:t>
            </w:r>
            <w:r>
              <w:rPr>
                <w:rFonts w:hint="eastAsia"/>
                <w:color w:val="auto"/>
                <w:u w:val="single"/>
              </w:rPr>
              <w:t xml:space="preserve">                                  </w:t>
            </w:r>
          </w:p>
          <w:p>
            <w:pPr>
              <w:rPr>
                <w:color w:val="auto"/>
                <w:szCs w:val="21"/>
              </w:rPr>
            </w:pPr>
          </w:p>
          <w:p>
            <w:pPr>
              <w:numPr>
                <w:ilvl w:val="0"/>
                <w:numId w:val="1"/>
              </w:numPr>
              <w:rPr>
                <w:color w:val="auto"/>
              </w:rPr>
            </w:pPr>
            <w:r>
              <w:rPr>
                <w:rFonts w:hint="eastAsia"/>
                <w:color w:val="auto"/>
                <w:szCs w:val="21"/>
              </w:rPr>
              <w:t>需要从外部供方获得的资源：</w:t>
            </w:r>
            <w:r>
              <w:rPr>
                <w:rFonts w:hint="eastAsia"/>
                <w:color w:val="auto"/>
              </w:rPr>
              <w:t xml:space="preserve"> </w:t>
            </w:r>
            <w:r>
              <w:rPr>
                <w:rFonts w:hint="eastAsia"/>
                <w:color w:val="auto"/>
                <w:u w:val="single"/>
              </w:rPr>
              <w:t xml:space="preserve">  无   </w:t>
            </w:r>
            <w:r>
              <w:rPr>
                <w:rFonts w:hint="eastAsia"/>
                <w:color w:val="auto"/>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auto"/>
              </w:rPr>
            </w:pPr>
            <w:r>
              <w:rPr>
                <w:rFonts w:hint="eastAsia"/>
                <w:color w:val="auto"/>
              </w:rPr>
              <w:t>意识</w:t>
            </w:r>
          </w:p>
        </w:tc>
        <w:tc>
          <w:tcPr>
            <w:tcW w:w="960" w:type="dxa"/>
            <w:vMerge w:val="restart"/>
          </w:tcPr>
          <w:p>
            <w:pPr>
              <w:rPr>
                <w:color w:val="auto"/>
              </w:rPr>
            </w:pPr>
            <w:r>
              <w:rPr>
                <w:color w:val="auto"/>
              </w:rPr>
              <w:t xml:space="preserve">Q </w:t>
            </w:r>
            <w:r>
              <w:rPr>
                <w:rFonts w:hint="eastAsia"/>
                <w:color w:val="auto"/>
              </w:rPr>
              <w:t xml:space="preserve">7.3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《人力资源管理程序》、</w:t>
            </w:r>
            <w:r>
              <w:rPr>
                <w:rFonts w:hint="eastAsia"/>
                <w:color w:val="auto"/>
              </w:rPr>
              <w:sym w:font="Wingdings" w:char="00A8"/>
            </w:r>
            <w:r>
              <w:rPr>
                <w:rFonts w:hint="eastAsia"/>
                <w:color w:val="auto"/>
              </w:rPr>
              <w:t>《能力和意识控制程序》</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 xml:space="preserve">组织工作人员提高环保意识的方式： </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340"/>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center"/>
                </w:tcPr>
                <w:p>
                  <w:pPr>
                    <w:jc w:val="center"/>
                    <w:rPr>
                      <w:color w:val="auto"/>
                    </w:rPr>
                  </w:pPr>
                  <w:r>
                    <w:rPr>
                      <w:rFonts w:hint="eastAsia"/>
                      <w:color w:val="auto"/>
                    </w:rPr>
                    <w:t>需要让员工知晓的内容</w:t>
                  </w:r>
                </w:p>
              </w:tc>
              <w:tc>
                <w:tcPr>
                  <w:tcW w:w="4340" w:type="dxa"/>
                  <w:vAlign w:val="center"/>
                </w:tcPr>
                <w:p>
                  <w:pPr>
                    <w:jc w:val="center"/>
                    <w:rPr>
                      <w:color w:val="auto"/>
                    </w:rPr>
                  </w:pPr>
                  <w:r>
                    <w:rPr>
                      <w:rFonts w:hint="eastAsia"/>
                      <w:color w:val="auto"/>
                    </w:rPr>
                    <w:t>方式</w:t>
                  </w:r>
                </w:p>
              </w:tc>
              <w:tc>
                <w:tcPr>
                  <w:tcW w:w="1968" w:type="dxa"/>
                  <w:vAlign w:val="center"/>
                </w:tcPr>
                <w:p>
                  <w:pPr>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auto"/>
                    </w:rPr>
                  </w:pPr>
                  <w:r>
                    <w:rPr>
                      <w:rFonts w:hint="eastAsia"/>
                      <w:color w:val="auto"/>
                    </w:rPr>
                    <w:t>质量方针</w:t>
                  </w:r>
                </w:p>
              </w:tc>
              <w:tc>
                <w:tcPr>
                  <w:tcW w:w="4340" w:type="dxa"/>
                </w:tcPr>
                <w:p>
                  <w:pPr>
                    <w:rPr>
                      <w:color w:val="auto"/>
                    </w:rPr>
                  </w:pPr>
                  <w:r>
                    <w:rPr>
                      <w:rFonts w:hint="eastAsia" w:ascii="Calibri" w:hAnsi="Calibri"/>
                      <w:color w:val="auto"/>
                    </w:rPr>
                    <w:t>☑</w:t>
                  </w:r>
                  <w:r>
                    <w:rPr>
                      <w:rFonts w:hint="eastAsia"/>
                      <w:color w:val="auto"/>
                    </w:rPr>
                    <w:t xml:space="preserve">会议  </w:t>
                  </w:r>
                  <w:r>
                    <w:rPr>
                      <w:rFonts w:hint="eastAsia" w:ascii="Calibri" w:hAnsi="Calibri"/>
                      <w:color w:val="auto"/>
                    </w:rPr>
                    <w:t>☑</w:t>
                  </w:r>
                  <w:r>
                    <w:rPr>
                      <w:rFonts w:hint="eastAsia"/>
                      <w:color w:val="auto"/>
                    </w:rPr>
                    <w:t xml:space="preserve">展板 </w:t>
                  </w:r>
                  <w:r>
                    <w:rPr>
                      <w:rFonts w:hint="eastAsia" w:ascii="Calibri" w:hAnsi="Calibri"/>
                      <w:color w:val="auto"/>
                    </w:rPr>
                    <w:t>☑</w:t>
                  </w:r>
                  <w:r>
                    <w:rPr>
                      <w:rFonts w:hint="eastAsia"/>
                      <w:color w:val="auto"/>
                    </w:rPr>
                    <w:t xml:space="preserve">标语 </w:t>
                  </w:r>
                  <w:r>
                    <w:rPr>
                      <w:rFonts w:hint="eastAsia" w:ascii="Calibri" w:hAnsi="Calibri"/>
                      <w:color w:val="auto"/>
                    </w:rPr>
                    <w:sym w:font="Wingdings 2" w:char="0052"/>
                  </w:r>
                  <w:r>
                    <w:rPr>
                      <w:rFonts w:hint="eastAsia" w:ascii="Calibri" w:hAnsi="Calibri"/>
                      <w:color w:val="auto"/>
                    </w:rPr>
                    <w:t>培训</w:t>
                  </w:r>
                  <w:r>
                    <w:rPr>
                      <w:rFonts w:hint="eastAsia"/>
                      <w:color w:val="auto"/>
                    </w:rPr>
                    <w:t xml:space="preserve"> </w:t>
                  </w:r>
                  <w:r>
                    <w:rPr>
                      <w:rFonts w:hint="eastAsia" w:ascii="Calibri" w:hAnsi="Calibri"/>
                      <w:color w:val="auto"/>
                    </w:rPr>
                    <w:t>□其他</w:t>
                  </w:r>
                </w:p>
              </w:tc>
              <w:tc>
                <w:tcPr>
                  <w:tcW w:w="1968"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auto"/>
                    </w:rPr>
                  </w:pPr>
                  <w:r>
                    <w:rPr>
                      <w:rFonts w:hint="eastAsia"/>
                      <w:color w:val="auto"/>
                    </w:rPr>
                    <w:t>质量目标</w:t>
                  </w:r>
                </w:p>
              </w:tc>
              <w:tc>
                <w:tcPr>
                  <w:tcW w:w="4340" w:type="dxa"/>
                </w:tcPr>
                <w:p>
                  <w:pPr>
                    <w:rPr>
                      <w:color w:val="auto"/>
                    </w:rPr>
                  </w:pPr>
                  <w:r>
                    <w:rPr>
                      <w:rFonts w:hint="eastAsia" w:ascii="Calibri" w:hAnsi="Calibri"/>
                      <w:color w:val="auto"/>
                    </w:rPr>
                    <w:t>☑</w:t>
                  </w:r>
                  <w:r>
                    <w:rPr>
                      <w:rFonts w:hint="eastAsia"/>
                      <w:color w:val="auto"/>
                    </w:rPr>
                    <w:t xml:space="preserve">会议  </w:t>
                  </w:r>
                  <w:r>
                    <w:rPr>
                      <w:rFonts w:hint="eastAsia" w:ascii="Calibri" w:hAnsi="Calibri"/>
                      <w:color w:val="auto"/>
                    </w:rPr>
                    <w:t>☑</w:t>
                  </w:r>
                  <w:r>
                    <w:rPr>
                      <w:rFonts w:hint="eastAsia"/>
                      <w:color w:val="auto"/>
                    </w:rPr>
                    <w:t xml:space="preserve">展板 </w:t>
                  </w:r>
                  <w:r>
                    <w:rPr>
                      <w:rFonts w:hint="eastAsia" w:ascii="Calibri" w:hAnsi="Calibri"/>
                      <w:color w:val="auto"/>
                    </w:rPr>
                    <w:t>☑</w:t>
                  </w:r>
                  <w:r>
                    <w:rPr>
                      <w:rFonts w:hint="eastAsia"/>
                      <w:color w:val="auto"/>
                    </w:rPr>
                    <w:t xml:space="preserve">标语 </w:t>
                  </w:r>
                  <w:r>
                    <w:rPr>
                      <w:rFonts w:hint="eastAsia" w:ascii="Calibri" w:hAnsi="Calibri"/>
                      <w:color w:val="auto"/>
                    </w:rPr>
                    <w:t>☑培训</w:t>
                  </w:r>
                  <w:r>
                    <w:rPr>
                      <w:rFonts w:hint="eastAsia"/>
                      <w:color w:val="auto"/>
                    </w:rPr>
                    <w:t xml:space="preserve"> </w:t>
                  </w:r>
                  <w:r>
                    <w:rPr>
                      <w:rFonts w:hint="eastAsia" w:ascii="Calibri" w:hAnsi="Calibri"/>
                      <w:color w:val="auto"/>
                    </w:rPr>
                    <w:t>□其他</w:t>
                  </w:r>
                  <w:r>
                    <w:rPr>
                      <w:rFonts w:hint="eastAsia"/>
                      <w:color w:val="auto"/>
                    </w:rPr>
                    <w:t xml:space="preserve"> </w:t>
                  </w:r>
                </w:p>
              </w:tc>
              <w:tc>
                <w:tcPr>
                  <w:tcW w:w="1968"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auto"/>
                    </w:rPr>
                  </w:pPr>
                  <w:r>
                    <w:rPr>
                      <w:rFonts w:hint="eastAsia"/>
                      <w:color w:val="auto"/>
                    </w:rPr>
                    <w:t>对质量管理体系有效性的贡献，包括提升质量绩效的贡献；</w:t>
                  </w:r>
                </w:p>
              </w:tc>
              <w:tc>
                <w:tcPr>
                  <w:tcW w:w="4340" w:type="dxa"/>
                </w:tcPr>
                <w:p>
                  <w:pPr>
                    <w:rPr>
                      <w:color w:val="auto"/>
                    </w:rPr>
                  </w:pPr>
                  <w:r>
                    <w:rPr>
                      <w:rFonts w:hint="eastAsia" w:ascii="Calibri" w:hAnsi="Calibri"/>
                      <w:color w:val="auto"/>
                    </w:rPr>
                    <w:sym w:font="Wingdings 2" w:char="0052"/>
                  </w:r>
                  <w:r>
                    <w:rPr>
                      <w:rFonts w:hint="eastAsia"/>
                      <w:color w:val="auto"/>
                    </w:rPr>
                    <w:t xml:space="preserve">会议  </w:t>
                  </w:r>
                  <w:r>
                    <w:rPr>
                      <w:rFonts w:hint="eastAsia" w:ascii="Calibri" w:hAnsi="Calibri"/>
                      <w:color w:val="auto"/>
                    </w:rPr>
                    <w:t>☑</w:t>
                  </w:r>
                  <w:r>
                    <w:rPr>
                      <w:rFonts w:hint="eastAsia"/>
                      <w:color w:val="auto"/>
                    </w:rPr>
                    <w:t xml:space="preserve">展板 </w:t>
                  </w:r>
                  <w:r>
                    <w:rPr>
                      <w:rFonts w:hint="eastAsia" w:ascii="Calibri" w:hAnsi="Calibri"/>
                      <w:color w:val="auto"/>
                    </w:rPr>
                    <w:t>☑</w:t>
                  </w:r>
                  <w:r>
                    <w:rPr>
                      <w:rFonts w:hint="eastAsia"/>
                      <w:color w:val="auto"/>
                    </w:rPr>
                    <w:t xml:space="preserve">标语 </w:t>
                  </w:r>
                  <w:r>
                    <w:rPr>
                      <w:rFonts w:hint="eastAsia" w:ascii="Calibri" w:hAnsi="Calibri"/>
                      <w:color w:val="auto"/>
                    </w:rPr>
                    <w:t>☑培训</w:t>
                  </w:r>
                  <w:r>
                    <w:rPr>
                      <w:rFonts w:hint="eastAsia"/>
                      <w:color w:val="auto"/>
                    </w:rPr>
                    <w:t xml:space="preserve"> </w:t>
                  </w:r>
                  <w:r>
                    <w:rPr>
                      <w:rFonts w:hint="eastAsia" w:ascii="Calibri" w:hAnsi="Calibri"/>
                      <w:color w:val="auto"/>
                    </w:rPr>
                    <w:t>□其他</w:t>
                  </w:r>
                  <w:r>
                    <w:rPr>
                      <w:rFonts w:hint="eastAsia"/>
                      <w:color w:val="auto"/>
                    </w:rPr>
                    <w:t xml:space="preserve"> </w:t>
                  </w:r>
                </w:p>
              </w:tc>
              <w:tc>
                <w:tcPr>
                  <w:tcW w:w="1968"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auto"/>
                    </w:rPr>
                  </w:pPr>
                  <w:r>
                    <w:rPr>
                      <w:rFonts w:hint="eastAsia"/>
                      <w:color w:val="auto"/>
                    </w:rPr>
                    <w:t>不符合质量管理体系要求，包括未履行组织合规义务的后果</w:t>
                  </w:r>
                </w:p>
              </w:tc>
              <w:tc>
                <w:tcPr>
                  <w:tcW w:w="4340" w:type="dxa"/>
                </w:tcPr>
                <w:p>
                  <w:pPr>
                    <w:rPr>
                      <w:color w:val="auto"/>
                    </w:rPr>
                  </w:pPr>
                  <w:r>
                    <w:rPr>
                      <w:rFonts w:hint="eastAsia" w:ascii="Calibri" w:hAnsi="Calibri"/>
                      <w:color w:val="auto"/>
                    </w:rPr>
                    <w:sym w:font="Wingdings 2" w:char="0052"/>
                  </w:r>
                  <w:r>
                    <w:rPr>
                      <w:rFonts w:hint="eastAsia"/>
                      <w:color w:val="auto"/>
                    </w:rPr>
                    <w:t xml:space="preserve">会议  </w:t>
                  </w:r>
                  <w:r>
                    <w:rPr>
                      <w:rFonts w:hint="eastAsia" w:ascii="Calibri" w:hAnsi="Calibri"/>
                      <w:color w:val="auto"/>
                    </w:rPr>
                    <w:t>☑</w:t>
                  </w:r>
                  <w:r>
                    <w:rPr>
                      <w:rFonts w:hint="eastAsia"/>
                      <w:color w:val="auto"/>
                    </w:rPr>
                    <w:t xml:space="preserve">展板 </w:t>
                  </w:r>
                  <w:r>
                    <w:rPr>
                      <w:rFonts w:hint="eastAsia" w:ascii="Calibri" w:hAnsi="Calibri"/>
                      <w:color w:val="auto"/>
                    </w:rPr>
                    <w:t>☑</w:t>
                  </w:r>
                  <w:r>
                    <w:rPr>
                      <w:rFonts w:hint="eastAsia"/>
                      <w:color w:val="auto"/>
                    </w:rPr>
                    <w:t xml:space="preserve">标语 </w:t>
                  </w:r>
                  <w:r>
                    <w:rPr>
                      <w:rFonts w:hint="eastAsia" w:ascii="Calibri" w:hAnsi="Calibri"/>
                      <w:color w:val="auto"/>
                    </w:rPr>
                    <w:t>☑培训</w:t>
                  </w:r>
                  <w:r>
                    <w:rPr>
                      <w:rFonts w:hint="eastAsia"/>
                      <w:color w:val="auto"/>
                    </w:rPr>
                    <w:t xml:space="preserve"> </w:t>
                  </w:r>
                  <w:r>
                    <w:rPr>
                      <w:rFonts w:hint="eastAsia" w:ascii="Calibri" w:hAnsi="Calibri"/>
                      <w:color w:val="auto"/>
                    </w:rPr>
                    <w:t>□其他</w:t>
                  </w:r>
                  <w:r>
                    <w:rPr>
                      <w:rFonts w:hint="eastAsia"/>
                      <w:color w:val="auto"/>
                    </w:rPr>
                    <w:t xml:space="preserve"> </w:t>
                  </w:r>
                </w:p>
              </w:tc>
              <w:tc>
                <w:tcPr>
                  <w:tcW w:w="1968" w:type="dxa"/>
                </w:tcPr>
                <w:p>
                  <w:pPr>
                    <w:rPr>
                      <w:color w:val="auto"/>
                    </w:rPr>
                  </w:pPr>
                </w:p>
              </w:tc>
            </w:tr>
          </w:tbl>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Merge w:val="restart"/>
          </w:tcPr>
          <w:p>
            <w:pPr>
              <w:rPr>
                <w:rFonts w:hint="eastAsia" w:eastAsia="宋体"/>
                <w:color w:val="auto"/>
                <w:lang w:eastAsia="zh-CN"/>
              </w:rPr>
            </w:pPr>
            <w:r>
              <w:rPr>
                <w:rFonts w:hint="eastAsia"/>
                <w:color w:val="auto"/>
              </w:rPr>
              <w:t>监视、测量</w:t>
            </w:r>
            <w:r>
              <w:rPr>
                <w:rFonts w:hint="eastAsia"/>
                <w:color w:val="auto"/>
                <w:lang w:eastAsia="zh-CN"/>
              </w:rPr>
              <w:t>、</w:t>
            </w:r>
            <w:r>
              <w:rPr>
                <w:rFonts w:hint="eastAsia"/>
                <w:color w:val="auto"/>
              </w:rPr>
              <w:t>分析和评价</w:t>
            </w:r>
          </w:p>
        </w:tc>
        <w:tc>
          <w:tcPr>
            <w:tcW w:w="960" w:type="dxa"/>
            <w:vMerge w:val="restart"/>
          </w:tcPr>
          <w:p>
            <w:pPr>
              <w:rPr>
                <w:color w:val="auto"/>
              </w:rPr>
            </w:pPr>
            <w:r>
              <w:rPr>
                <w:color w:val="auto"/>
              </w:rPr>
              <w:t xml:space="preserve">Q </w:t>
            </w:r>
            <w:r>
              <w:rPr>
                <w:rFonts w:hint="eastAsia"/>
                <w:color w:val="auto"/>
              </w:rPr>
              <w:t>9.1</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管理手册9.1.1章</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组织对监视和测量的质量绩效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jc w:val="center"/>
                    <w:rPr>
                      <w:color w:val="auto"/>
                    </w:rPr>
                  </w:pPr>
                  <w:r>
                    <w:rPr>
                      <w:rFonts w:hint="eastAsia"/>
                      <w:color w:val="auto"/>
                    </w:rPr>
                    <w:t>监视和测量的对象</w:t>
                  </w:r>
                </w:p>
              </w:tc>
              <w:tc>
                <w:tcPr>
                  <w:tcW w:w="2149" w:type="dxa"/>
                  <w:vAlign w:val="center"/>
                </w:tcPr>
                <w:p>
                  <w:pPr>
                    <w:jc w:val="center"/>
                    <w:rPr>
                      <w:color w:val="auto"/>
                    </w:rPr>
                  </w:pPr>
                  <w:r>
                    <w:rPr>
                      <w:rFonts w:hint="eastAsia"/>
                      <w:color w:val="auto"/>
                    </w:rPr>
                    <w:t>监视、测量、分析和评价的方法</w:t>
                  </w:r>
                </w:p>
              </w:tc>
              <w:tc>
                <w:tcPr>
                  <w:tcW w:w="1986" w:type="dxa"/>
                  <w:vAlign w:val="center"/>
                </w:tcPr>
                <w:p>
                  <w:pPr>
                    <w:jc w:val="center"/>
                    <w:rPr>
                      <w:color w:val="auto"/>
                    </w:rPr>
                  </w:pPr>
                  <w:r>
                    <w:rPr>
                      <w:rFonts w:hint="eastAsia"/>
                      <w:color w:val="auto"/>
                    </w:rPr>
                    <w:t>监视和测量的频次和时机</w:t>
                  </w:r>
                </w:p>
              </w:tc>
              <w:tc>
                <w:tcPr>
                  <w:tcW w:w="1887" w:type="dxa"/>
                  <w:vAlign w:val="center"/>
                </w:tcPr>
                <w:p>
                  <w:pPr>
                    <w:jc w:val="center"/>
                    <w:rPr>
                      <w:color w:val="auto"/>
                    </w:rPr>
                  </w:pPr>
                  <w:r>
                    <w:rPr>
                      <w:rFonts w:hint="eastAsia"/>
                      <w:color w:val="auto"/>
                    </w:rPr>
                    <w:t>评价其质量绩效所依据的准则和适当的参数</w:t>
                  </w:r>
                </w:p>
              </w:tc>
              <w:tc>
                <w:tcPr>
                  <w:tcW w:w="2034" w:type="dxa"/>
                  <w:vAlign w:val="center"/>
                </w:tcPr>
                <w:p>
                  <w:pPr>
                    <w:jc w:val="center"/>
                    <w:rPr>
                      <w:color w:val="auto"/>
                    </w:rPr>
                  </w:pPr>
                  <w:r>
                    <w:rPr>
                      <w:rFonts w:hint="eastAsia"/>
                      <w:color w:val="auto"/>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rPr>
                      <w:color w:val="auto"/>
                    </w:rPr>
                  </w:pPr>
                  <w:r>
                    <w:rPr>
                      <w:rFonts w:hint="eastAsia"/>
                      <w:color w:val="auto"/>
                    </w:rPr>
                    <w:t>过程</w:t>
                  </w:r>
                </w:p>
              </w:tc>
              <w:tc>
                <w:tcPr>
                  <w:tcW w:w="2149" w:type="dxa"/>
                  <w:vAlign w:val="center"/>
                </w:tcPr>
                <w:p>
                  <w:pPr>
                    <w:rPr>
                      <w:color w:val="auto"/>
                    </w:rPr>
                  </w:pPr>
                  <w:r>
                    <w:rPr>
                      <w:rFonts w:hint="eastAsia"/>
                      <w:color w:val="auto"/>
                    </w:rPr>
                    <w:t>现场巡视</w:t>
                  </w:r>
                </w:p>
                <w:p>
                  <w:pPr>
                    <w:rPr>
                      <w:color w:val="auto"/>
                    </w:rPr>
                  </w:pPr>
                  <w:r>
                    <w:rPr>
                      <w:rFonts w:hint="eastAsia"/>
                      <w:color w:val="auto"/>
                    </w:rPr>
                    <w:t>抽查记录</w:t>
                  </w:r>
                </w:p>
                <w:p>
                  <w:pPr>
                    <w:rPr>
                      <w:color w:val="auto"/>
                    </w:rPr>
                  </w:pPr>
                  <w:r>
                    <w:rPr>
                      <w:rFonts w:hint="eastAsia"/>
                      <w:color w:val="auto"/>
                    </w:rPr>
                    <w:t>对质量目标进行统计</w:t>
                  </w:r>
                </w:p>
              </w:tc>
              <w:tc>
                <w:tcPr>
                  <w:tcW w:w="1986" w:type="dxa"/>
                  <w:vAlign w:val="center"/>
                </w:tcPr>
                <w:p>
                  <w:pPr>
                    <w:rPr>
                      <w:color w:val="auto"/>
                    </w:rPr>
                  </w:pPr>
                  <w:r>
                    <w:rPr>
                      <w:rFonts w:hint="eastAsia"/>
                      <w:color w:val="auto"/>
                      <w:szCs w:val="21"/>
                    </w:rPr>
                    <w:t>☑</w:t>
                  </w:r>
                  <w:r>
                    <w:rPr>
                      <w:rFonts w:hint="eastAsia"/>
                      <w:color w:val="auto"/>
                    </w:rPr>
                    <w:t>定期检查</w:t>
                  </w:r>
                </w:p>
                <w:p>
                  <w:pPr>
                    <w:rPr>
                      <w:color w:val="auto"/>
                    </w:rPr>
                  </w:pPr>
                  <w:r>
                    <w:rPr>
                      <w:rFonts w:hint="eastAsia"/>
                      <w:color w:val="auto"/>
                      <w:szCs w:val="21"/>
                    </w:rPr>
                    <w:t>☑</w:t>
                  </w:r>
                  <w:r>
                    <w:rPr>
                      <w:rFonts w:hint="eastAsia"/>
                      <w:color w:val="auto"/>
                    </w:rPr>
                    <w:t>抽查</w:t>
                  </w:r>
                </w:p>
              </w:tc>
              <w:tc>
                <w:tcPr>
                  <w:tcW w:w="1887" w:type="dxa"/>
                  <w:vAlign w:val="center"/>
                </w:tcPr>
                <w:p>
                  <w:pPr>
                    <w:rPr>
                      <w:color w:val="auto"/>
                    </w:rPr>
                  </w:pPr>
                  <w:r>
                    <w:rPr>
                      <w:rFonts w:hint="eastAsia"/>
                      <w:color w:val="auto"/>
                    </w:rPr>
                    <w:t>——</w:t>
                  </w:r>
                </w:p>
              </w:tc>
              <w:tc>
                <w:tcPr>
                  <w:tcW w:w="2034" w:type="dxa"/>
                  <w:vAlign w:val="center"/>
                </w:tcPr>
                <w:p>
                  <w:pPr>
                    <w:widowControl/>
                    <w:spacing w:before="40"/>
                    <w:rPr>
                      <w:color w:val="auto"/>
                      <w:szCs w:val="21"/>
                    </w:rPr>
                  </w:pPr>
                  <w:r>
                    <w:rPr>
                      <w:rFonts w:hint="eastAsia"/>
                      <w:color w:val="auto"/>
                      <w:szCs w:val="21"/>
                    </w:rPr>
                    <w:t>☑</w:t>
                  </w:r>
                  <w:r>
                    <w:rPr>
                      <w:rFonts w:hint="eastAsia"/>
                      <w:color w:val="auto"/>
                    </w:rPr>
                    <w:t>每月</w:t>
                  </w:r>
                  <w:r>
                    <w:rPr>
                      <w:rFonts w:hint="eastAsia"/>
                      <w:color w:val="auto"/>
                      <w:szCs w:val="21"/>
                    </w:rPr>
                    <w:t xml:space="preserve"> □</w:t>
                  </w:r>
                  <w:r>
                    <w:rPr>
                      <w:rFonts w:hint="eastAsia"/>
                      <w:color w:val="auto"/>
                    </w:rPr>
                    <w:t xml:space="preserve">每季度 </w:t>
                  </w:r>
                  <w:r>
                    <w:rPr>
                      <w:rFonts w:hint="eastAsia"/>
                      <w:color w:val="auto"/>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vAlign w:val="center"/>
                </w:tcPr>
                <w:p>
                  <w:pPr>
                    <w:rPr>
                      <w:color w:val="auto"/>
                    </w:rPr>
                  </w:pPr>
                  <w:r>
                    <w:rPr>
                      <w:rFonts w:hint="eastAsia"/>
                      <w:color w:val="auto"/>
                    </w:rPr>
                    <w:t>体系</w:t>
                  </w:r>
                </w:p>
              </w:tc>
              <w:tc>
                <w:tcPr>
                  <w:tcW w:w="2149" w:type="dxa"/>
                  <w:vAlign w:val="center"/>
                </w:tcPr>
                <w:p>
                  <w:pPr>
                    <w:rPr>
                      <w:color w:val="auto"/>
                    </w:rPr>
                  </w:pPr>
                  <w:r>
                    <w:rPr>
                      <w:rFonts w:hint="eastAsia"/>
                      <w:color w:val="auto"/>
                    </w:rPr>
                    <w:t>内部审核；对内审不符合项进行分析</w:t>
                  </w:r>
                </w:p>
              </w:tc>
              <w:tc>
                <w:tcPr>
                  <w:tcW w:w="1986" w:type="dxa"/>
                  <w:vAlign w:val="center"/>
                </w:tcPr>
                <w:p>
                  <w:pPr>
                    <w:rPr>
                      <w:color w:val="auto"/>
                    </w:rPr>
                  </w:pPr>
                  <w:r>
                    <w:rPr>
                      <w:rFonts w:hint="eastAsia"/>
                      <w:color w:val="auto"/>
                      <w:szCs w:val="21"/>
                    </w:rPr>
                    <w:t>☑</w:t>
                  </w:r>
                  <w:r>
                    <w:rPr>
                      <w:rFonts w:hint="eastAsia"/>
                      <w:color w:val="auto"/>
                    </w:rPr>
                    <w:t>按年度内审计划</w:t>
                  </w:r>
                </w:p>
                <w:p>
                  <w:pPr>
                    <w:rPr>
                      <w:color w:val="auto"/>
                    </w:rPr>
                  </w:pPr>
                  <w:r>
                    <w:rPr>
                      <w:rFonts w:hint="eastAsia"/>
                      <w:color w:val="auto"/>
                      <w:szCs w:val="21"/>
                    </w:rPr>
                    <w:t>□</w:t>
                  </w:r>
                  <w:r>
                    <w:rPr>
                      <w:rFonts w:hint="eastAsia"/>
                      <w:color w:val="auto"/>
                    </w:rPr>
                    <w:t>每年一次</w:t>
                  </w:r>
                </w:p>
                <w:p>
                  <w:pPr>
                    <w:rPr>
                      <w:color w:val="auto"/>
                    </w:rPr>
                  </w:pPr>
                  <w:r>
                    <w:rPr>
                      <w:rFonts w:hint="eastAsia"/>
                      <w:color w:val="auto"/>
                      <w:szCs w:val="21"/>
                    </w:rPr>
                    <w:t>□特殊情况增加</w:t>
                  </w:r>
                </w:p>
              </w:tc>
              <w:tc>
                <w:tcPr>
                  <w:tcW w:w="1887" w:type="dxa"/>
                  <w:vAlign w:val="center"/>
                </w:tcPr>
                <w:p>
                  <w:pPr>
                    <w:rPr>
                      <w:color w:val="auto"/>
                    </w:rPr>
                  </w:pPr>
                  <w:r>
                    <w:rPr>
                      <w:rFonts w:hint="eastAsia"/>
                      <w:color w:val="auto"/>
                    </w:rPr>
                    <w:t>——</w:t>
                  </w:r>
                </w:p>
              </w:tc>
              <w:tc>
                <w:tcPr>
                  <w:tcW w:w="2034" w:type="dxa"/>
                  <w:vAlign w:val="center"/>
                </w:tcPr>
                <w:p>
                  <w:pPr>
                    <w:widowControl/>
                    <w:spacing w:before="40"/>
                    <w:rPr>
                      <w:color w:val="auto"/>
                      <w:szCs w:val="21"/>
                    </w:rPr>
                  </w:pPr>
                  <w:r>
                    <w:rPr>
                      <w:rFonts w:hint="eastAsia"/>
                      <w:color w:val="auto"/>
                      <w:szCs w:val="21"/>
                    </w:rPr>
                    <w:t>□</w:t>
                  </w:r>
                  <w:r>
                    <w:rPr>
                      <w:rFonts w:hint="eastAsia"/>
                      <w:color w:val="auto"/>
                    </w:rPr>
                    <w:t>每月</w:t>
                  </w:r>
                  <w:r>
                    <w:rPr>
                      <w:rFonts w:hint="eastAsia"/>
                      <w:color w:val="auto"/>
                      <w:szCs w:val="21"/>
                    </w:rPr>
                    <w:t xml:space="preserve"> □</w:t>
                  </w:r>
                  <w:r>
                    <w:rPr>
                      <w:rFonts w:hint="eastAsia"/>
                      <w:color w:val="auto"/>
                    </w:rPr>
                    <w:t xml:space="preserve">每季度 </w:t>
                  </w:r>
                  <w:r>
                    <w:rPr>
                      <w:rFonts w:hint="eastAsia"/>
                      <w:color w:val="auto"/>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rPr>
                  </w:pPr>
                  <w:r>
                    <w:rPr>
                      <w:rFonts w:hint="eastAsia"/>
                      <w:color w:val="auto"/>
                    </w:rPr>
                    <w:t>体系有效性</w:t>
                  </w:r>
                </w:p>
              </w:tc>
              <w:tc>
                <w:tcPr>
                  <w:tcW w:w="2149" w:type="dxa"/>
                </w:tcPr>
                <w:p>
                  <w:pPr>
                    <w:rPr>
                      <w:color w:val="auto"/>
                    </w:rPr>
                  </w:pPr>
                  <w:r>
                    <w:rPr>
                      <w:rFonts w:hint="eastAsia"/>
                      <w:color w:val="auto"/>
                    </w:rPr>
                    <w:t>管理评审，对存在的需要问题进行分析</w:t>
                  </w:r>
                </w:p>
              </w:tc>
              <w:tc>
                <w:tcPr>
                  <w:tcW w:w="1986" w:type="dxa"/>
                </w:tcPr>
                <w:p>
                  <w:pPr>
                    <w:rPr>
                      <w:color w:val="auto"/>
                    </w:rPr>
                  </w:pPr>
                  <w:r>
                    <w:rPr>
                      <w:rFonts w:hint="eastAsia"/>
                      <w:color w:val="auto"/>
                      <w:szCs w:val="21"/>
                    </w:rPr>
                    <w:t>☑</w:t>
                  </w:r>
                  <w:r>
                    <w:rPr>
                      <w:rFonts w:hint="eastAsia"/>
                      <w:color w:val="auto"/>
                    </w:rPr>
                    <w:t>每年一次</w:t>
                  </w:r>
                </w:p>
                <w:p>
                  <w:pPr>
                    <w:rPr>
                      <w:color w:val="auto"/>
                    </w:rPr>
                  </w:pPr>
                  <w:r>
                    <w:rPr>
                      <w:rFonts w:hint="eastAsia"/>
                      <w:color w:val="auto"/>
                      <w:szCs w:val="21"/>
                    </w:rPr>
                    <w:t>□特殊情况增加</w:t>
                  </w:r>
                </w:p>
              </w:tc>
              <w:tc>
                <w:tcPr>
                  <w:tcW w:w="1887" w:type="dxa"/>
                </w:tcPr>
                <w:p>
                  <w:pPr>
                    <w:rPr>
                      <w:color w:val="auto"/>
                    </w:rPr>
                  </w:pPr>
                  <w:r>
                    <w:rPr>
                      <w:rFonts w:hint="eastAsia"/>
                      <w:color w:val="auto"/>
                    </w:rPr>
                    <w:t>——</w:t>
                  </w:r>
                </w:p>
              </w:tc>
              <w:tc>
                <w:tcPr>
                  <w:tcW w:w="2034" w:type="dxa"/>
                </w:tcPr>
                <w:p>
                  <w:pPr>
                    <w:widowControl/>
                    <w:spacing w:before="40"/>
                    <w:jc w:val="left"/>
                    <w:rPr>
                      <w:color w:val="auto"/>
                      <w:szCs w:val="21"/>
                    </w:rPr>
                  </w:pPr>
                  <w:r>
                    <w:rPr>
                      <w:rFonts w:hint="eastAsia"/>
                      <w:color w:val="auto"/>
                      <w:szCs w:val="21"/>
                    </w:rPr>
                    <w:t>□</w:t>
                  </w:r>
                  <w:r>
                    <w:rPr>
                      <w:rFonts w:hint="eastAsia"/>
                      <w:color w:val="auto"/>
                    </w:rPr>
                    <w:t>每月</w:t>
                  </w:r>
                  <w:r>
                    <w:rPr>
                      <w:rFonts w:hint="eastAsia"/>
                      <w:color w:val="auto"/>
                      <w:szCs w:val="21"/>
                    </w:rPr>
                    <w:t xml:space="preserve"> □</w:t>
                  </w:r>
                  <w:r>
                    <w:rPr>
                      <w:rFonts w:hint="eastAsia"/>
                      <w:color w:val="auto"/>
                    </w:rPr>
                    <w:t xml:space="preserve">每季度 </w:t>
                  </w:r>
                  <w:r>
                    <w:rPr>
                      <w:rFonts w:hint="eastAsia"/>
                      <w:color w:val="auto"/>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rPr>
                  </w:pPr>
                  <w:r>
                    <w:rPr>
                      <w:rFonts w:hint="eastAsia"/>
                      <w:color w:val="auto"/>
                    </w:rPr>
                    <w:t>相关方反馈</w:t>
                  </w:r>
                </w:p>
              </w:tc>
              <w:tc>
                <w:tcPr>
                  <w:tcW w:w="2149" w:type="dxa"/>
                </w:tcPr>
                <w:p>
                  <w:pPr>
                    <w:rPr>
                      <w:color w:val="auto"/>
                    </w:rPr>
                  </w:pPr>
                  <w:r>
                    <w:rPr>
                      <w:rFonts w:hint="eastAsia"/>
                      <w:color w:val="auto"/>
                    </w:rPr>
                    <w:t>反馈处理，对问题进行统计</w:t>
                  </w:r>
                </w:p>
              </w:tc>
              <w:tc>
                <w:tcPr>
                  <w:tcW w:w="1986" w:type="dxa"/>
                </w:tcPr>
                <w:p>
                  <w:pPr>
                    <w:rPr>
                      <w:color w:val="auto"/>
                    </w:rPr>
                  </w:pPr>
                  <w:r>
                    <w:rPr>
                      <w:rFonts w:hint="eastAsia"/>
                      <w:color w:val="auto"/>
                      <w:szCs w:val="21"/>
                    </w:rPr>
                    <w:t>☑</w:t>
                  </w:r>
                  <w:r>
                    <w:rPr>
                      <w:rFonts w:hint="eastAsia"/>
                      <w:color w:val="auto"/>
                    </w:rPr>
                    <w:t>每年一次</w:t>
                  </w:r>
                </w:p>
                <w:p>
                  <w:pPr>
                    <w:rPr>
                      <w:color w:val="auto"/>
                    </w:rPr>
                  </w:pPr>
                  <w:r>
                    <w:rPr>
                      <w:rFonts w:hint="eastAsia"/>
                      <w:color w:val="auto"/>
                      <w:szCs w:val="21"/>
                    </w:rPr>
                    <w:t>□随时</w:t>
                  </w:r>
                </w:p>
              </w:tc>
              <w:tc>
                <w:tcPr>
                  <w:tcW w:w="1887" w:type="dxa"/>
                </w:tcPr>
                <w:p>
                  <w:pPr>
                    <w:rPr>
                      <w:color w:val="auto"/>
                    </w:rPr>
                  </w:pPr>
                  <w:r>
                    <w:rPr>
                      <w:rFonts w:hint="eastAsia"/>
                      <w:color w:val="auto"/>
                    </w:rPr>
                    <w:t>——</w:t>
                  </w:r>
                </w:p>
              </w:tc>
              <w:tc>
                <w:tcPr>
                  <w:tcW w:w="2034" w:type="dxa"/>
                </w:tcPr>
                <w:p>
                  <w:pPr>
                    <w:widowControl/>
                    <w:spacing w:before="40"/>
                    <w:jc w:val="left"/>
                    <w:rPr>
                      <w:color w:val="auto"/>
                      <w:szCs w:val="21"/>
                    </w:rPr>
                  </w:pPr>
                  <w:r>
                    <w:rPr>
                      <w:rFonts w:hint="eastAsia"/>
                      <w:color w:val="auto"/>
                      <w:szCs w:val="21"/>
                    </w:rPr>
                    <w:t>□</w:t>
                  </w:r>
                  <w:r>
                    <w:rPr>
                      <w:rFonts w:hint="eastAsia"/>
                      <w:color w:val="auto"/>
                    </w:rPr>
                    <w:t>每月</w:t>
                  </w:r>
                  <w:r>
                    <w:rPr>
                      <w:rFonts w:hint="eastAsia"/>
                      <w:color w:val="auto"/>
                      <w:szCs w:val="21"/>
                    </w:rPr>
                    <w:t xml:space="preserve"> □</w:t>
                  </w:r>
                  <w:r>
                    <w:rPr>
                      <w:rFonts w:hint="eastAsia"/>
                      <w:color w:val="auto"/>
                    </w:rPr>
                    <w:t xml:space="preserve">每季度 </w:t>
                  </w:r>
                  <w:r>
                    <w:rPr>
                      <w:rFonts w:hint="eastAsia"/>
                      <w:color w:val="auto"/>
                      <w:szCs w:val="21"/>
                    </w:rPr>
                    <w:t>☑每年</w:t>
                  </w:r>
                </w:p>
              </w:tc>
            </w:tr>
          </w:tbl>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color w:val="auto"/>
              </w:rPr>
            </w:pPr>
            <w:r>
              <w:rPr>
                <w:rFonts w:hint="eastAsia"/>
                <w:color w:val="auto"/>
              </w:rPr>
              <w:t>管理评审</w:t>
            </w:r>
          </w:p>
        </w:tc>
        <w:tc>
          <w:tcPr>
            <w:tcW w:w="960" w:type="dxa"/>
            <w:vMerge w:val="restart"/>
          </w:tcPr>
          <w:p>
            <w:pPr>
              <w:rPr>
                <w:color w:val="auto"/>
              </w:rPr>
            </w:pPr>
            <w:r>
              <w:rPr>
                <w:color w:val="auto"/>
              </w:rPr>
              <w:t xml:space="preserve">Q </w:t>
            </w:r>
            <w:r>
              <w:rPr>
                <w:rFonts w:hint="eastAsia"/>
                <w:color w:val="auto"/>
              </w:rPr>
              <w:t>9.3</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《管理评审控制程序》</w:t>
            </w:r>
            <w:r>
              <w:rPr>
                <w:rFonts w:hint="eastAsia"/>
                <w:color w:val="auto"/>
              </w:rPr>
              <w:sym w:font="Wingdings" w:char="00FE"/>
            </w:r>
            <w:r>
              <w:rPr>
                <w:rFonts w:hint="eastAsia"/>
                <w:color w:val="auto"/>
              </w:rPr>
              <w:t>手册第9.3条款</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widowControl/>
              <w:spacing w:before="40"/>
              <w:jc w:val="left"/>
              <w:rPr>
                <w:color w:val="auto"/>
                <w:szCs w:val="18"/>
              </w:rPr>
            </w:pPr>
            <w:r>
              <w:rPr>
                <w:rFonts w:hint="eastAsia"/>
                <w:color w:val="auto"/>
                <w:szCs w:val="18"/>
              </w:rPr>
              <w:t>自</w:t>
            </w:r>
            <w:r>
              <w:rPr>
                <w:color w:val="auto"/>
              </w:rPr>
              <w:sym w:font="Wingdings" w:char="00FE"/>
            </w:r>
            <w:r>
              <w:rPr>
                <w:rFonts w:hint="eastAsia"/>
                <w:color w:val="auto"/>
                <w:szCs w:val="18"/>
              </w:rPr>
              <w:t>管理体系建立后/</w:t>
            </w:r>
            <w:r>
              <w:rPr>
                <w:color w:val="auto"/>
              </w:rPr>
              <w:sym w:font="Wingdings" w:char="00A8"/>
            </w:r>
            <w:r>
              <w:rPr>
                <w:rFonts w:hint="eastAsia"/>
                <w:color w:val="auto"/>
              </w:rPr>
              <w:t>近一年</w:t>
            </w:r>
            <w:r>
              <w:rPr>
                <w:rFonts w:hint="eastAsia"/>
                <w:color w:val="auto"/>
                <w:szCs w:val="18"/>
              </w:rPr>
              <w:t>，于</w:t>
            </w:r>
            <w:r>
              <w:rPr>
                <w:rFonts w:hint="eastAsia"/>
                <w:color w:val="auto"/>
                <w:szCs w:val="18"/>
                <w:u w:val="single"/>
              </w:rPr>
              <w:t xml:space="preserve"> 2020</w:t>
            </w:r>
            <w:r>
              <w:rPr>
                <w:color w:val="auto"/>
                <w:szCs w:val="18"/>
                <w:u w:val="single"/>
              </w:rPr>
              <w:t xml:space="preserve"> </w:t>
            </w:r>
            <w:r>
              <w:rPr>
                <w:rFonts w:hint="eastAsia"/>
                <w:color w:val="auto"/>
                <w:szCs w:val="18"/>
              </w:rPr>
              <w:t>年</w:t>
            </w:r>
            <w:r>
              <w:rPr>
                <w:rFonts w:hint="eastAsia"/>
                <w:color w:val="auto"/>
                <w:szCs w:val="18"/>
                <w:u w:val="single"/>
              </w:rPr>
              <w:t xml:space="preserve"> 6月</w:t>
            </w:r>
            <w:r>
              <w:rPr>
                <w:color w:val="auto"/>
                <w:szCs w:val="18"/>
                <w:u w:val="single"/>
              </w:rPr>
              <w:t xml:space="preserve"> </w:t>
            </w:r>
            <w:r>
              <w:rPr>
                <w:rFonts w:hint="eastAsia"/>
                <w:color w:val="auto"/>
                <w:szCs w:val="18"/>
                <w:u w:val="single"/>
              </w:rPr>
              <w:t>20</w:t>
            </w:r>
            <w:r>
              <w:rPr>
                <w:rFonts w:hint="eastAsia"/>
                <w:color w:val="auto"/>
                <w:szCs w:val="18"/>
              </w:rPr>
              <w:t>施了管理评审；</w:t>
            </w:r>
          </w:p>
          <w:p>
            <w:pPr>
              <w:widowControl/>
              <w:spacing w:before="40"/>
              <w:jc w:val="left"/>
              <w:rPr>
                <w:color w:val="auto"/>
                <w:szCs w:val="18"/>
              </w:rPr>
            </w:pPr>
            <w:r>
              <w:rPr>
                <w:rFonts w:hint="eastAsia"/>
                <w:color w:val="auto"/>
                <w:szCs w:val="18"/>
              </w:rPr>
              <w:t>查看</w:t>
            </w:r>
            <w:r>
              <w:rPr>
                <w:rFonts w:hint="eastAsia"/>
                <w:color w:val="auto"/>
                <w:szCs w:val="21"/>
              </w:rPr>
              <w:t>☑管理评审计划  ☑管理评审记录（工作总结）  □管理评审纪要  ☑管理评审报告</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szCs w:val="21"/>
                    </w:rPr>
                    <w:t>管理评审输入信息</w:t>
                  </w:r>
                </w:p>
              </w:tc>
              <w:tc>
                <w:tcPr>
                  <w:tcW w:w="1990" w:type="dxa"/>
                </w:tcPr>
                <w:p>
                  <w:pPr>
                    <w:widowControl/>
                    <w:spacing w:before="40"/>
                    <w:jc w:val="left"/>
                    <w:rPr>
                      <w:color w:val="auto"/>
                      <w:szCs w:val="21"/>
                    </w:rPr>
                  </w:pPr>
                  <w:r>
                    <w:rPr>
                      <w:rFonts w:hint="eastAsia"/>
                      <w:color w:val="auto"/>
                      <w:szCs w:val="21"/>
                    </w:rPr>
                    <w:t>评价</w:t>
                  </w:r>
                </w:p>
              </w:tc>
              <w:tc>
                <w:tcPr>
                  <w:tcW w:w="2816" w:type="dxa"/>
                </w:tcPr>
                <w:p>
                  <w:pPr>
                    <w:widowControl/>
                    <w:spacing w:before="40"/>
                    <w:jc w:val="left"/>
                    <w:rPr>
                      <w:color w:val="auto"/>
                      <w:szCs w:val="21"/>
                    </w:rPr>
                  </w:pPr>
                  <w:r>
                    <w:rPr>
                      <w:rFonts w:hint="eastAsia"/>
                      <w:color w:val="auto"/>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以往管理评审所采取措施的情况；</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highlight w:val="cyan"/>
                    </w:rPr>
                  </w:pPr>
                  <w:r>
                    <w:rPr>
                      <w:rFonts w:hint="eastAsia"/>
                      <w:color w:val="auto"/>
                      <w:szCs w:val="21"/>
                    </w:rPr>
                    <w:t>已采取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与质量管理体系相关的内外部因素的变化；</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有关相关方的反馈及趋势</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满足相关方需求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目标的实现程度及趋势</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过程绩效以及产品和服务的合格情况及趋势</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生产及目标达标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不合格及纠正措施及趋势</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无投诉，内审不符合已改进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监视和测量结果及趋势</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内审、外部审核结果及趋势</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bookmarkStart w:id="1" w:name="_GoBack"/>
                  <w:bookmarkEnd w:id="1"/>
                  <w:r>
                    <w:rPr>
                      <w:rFonts w:hint="eastAsia" w:ascii="宋体" w:hAnsi="宋体" w:cs="宋体"/>
                      <w:color w:val="auto"/>
                    </w:rPr>
                    <w:t>顾客或相关方</w:t>
                  </w:r>
                  <w:r>
                    <w:rPr>
                      <w:rFonts w:hint="eastAsia"/>
                      <w:color w:val="auto"/>
                    </w:rPr>
                    <w:t>绩效及趋势</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进行顾客满意度调查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资源的充分性；</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szCs w:val="21"/>
                    </w:rPr>
                  </w:pPr>
                  <w:r>
                    <w:rPr>
                      <w:rFonts w:hint="eastAsia"/>
                      <w:color w:val="auto"/>
                    </w:rPr>
                    <w:t>应对风险和机遇所采取措施的有效性</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color w:val="auto"/>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auto"/>
                    </w:rPr>
                  </w:pPr>
                  <w:r>
                    <w:rPr>
                      <w:rFonts w:hint="eastAsia"/>
                      <w:color w:val="auto"/>
                    </w:rPr>
                    <w:t>改进的机会</w:t>
                  </w:r>
                </w:p>
              </w:tc>
              <w:tc>
                <w:tcPr>
                  <w:tcW w:w="1990" w:type="dxa"/>
                </w:tcPr>
                <w:p>
                  <w:pPr>
                    <w:widowControl/>
                    <w:spacing w:before="40"/>
                    <w:jc w:val="left"/>
                    <w:rPr>
                      <w:color w:val="auto"/>
                      <w:szCs w:val="21"/>
                    </w:rPr>
                  </w:pPr>
                  <w:r>
                    <w:rPr>
                      <w:rFonts w:hint="eastAsia"/>
                      <w:color w:val="auto"/>
                      <w:szCs w:val="21"/>
                    </w:rPr>
                    <w:t>☑符合 □不符合</w:t>
                  </w:r>
                </w:p>
              </w:tc>
              <w:tc>
                <w:tcPr>
                  <w:tcW w:w="2816" w:type="dxa"/>
                </w:tcPr>
                <w:p>
                  <w:pPr>
                    <w:widowControl/>
                    <w:spacing w:before="40"/>
                    <w:jc w:val="left"/>
                    <w:rPr>
                      <w:color w:val="auto"/>
                      <w:szCs w:val="21"/>
                    </w:rPr>
                  </w:pPr>
                  <w:r>
                    <w:rPr>
                      <w:rFonts w:hint="eastAsia" w:ascii="宋体" w:hAnsi="宋体" w:cs="宋体"/>
                      <w:color w:val="auto"/>
                    </w:rPr>
                    <w:t>投</w:t>
                  </w:r>
                  <w:r>
                    <w:rPr>
                      <w:rFonts w:hint="eastAsia"/>
                      <w:color w:val="auto"/>
                      <w:szCs w:val="21"/>
                    </w:rPr>
                    <w:t>资、改进公司办公环境</w:t>
                  </w:r>
                </w:p>
              </w:tc>
            </w:tr>
          </w:tbl>
          <w:p>
            <w:pPr>
              <w:widowControl/>
              <w:spacing w:before="40"/>
              <w:jc w:val="left"/>
              <w:rPr>
                <w:color w:val="auto"/>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szCs w:val="18"/>
                    </w:rPr>
                    <w:t>管理评审输出信息</w:t>
                  </w:r>
                </w:p>
              </w:tc>
              <w:tc>
                <w:tcPr>
                  <w:tcW w:w="4620" w:type="dxa"/>
                </w:tcPr>
                <w:p>
                  <w:pPr>
                    <w:widowControl/>
                    <w:spacing w:before="40"/>
                    <w:jc w:val="left"/>
                    <w:rPr>
                      <w:color w:val="auto"/>
                      <w:szCs w:val="21"/>
                    </w:rPr>
                  </w:pPr>
                  <w:r>
                    <w:rPr>
                      <w:rFonts w:hint="eastAsia"/>
                      <w:color w:val="auto"/>
                      <w:szCs w:val="21"/>
                    </w:rPr>
                    <w:t>措施描述</w:t>
                  </w:r>
                </w:p>
              </w:tc>
              <w:tc>
                <w:tcPr>
                  <w:tcW w:w="2496" w:type="dxa"/>
                </w:tcPr>
                <w:p>
                  <w:pPr>
                    <w:widowControl/>
                    <w:spacing w:before="40"/>
                    <w:jc w:val="left"/>
                    <w:rPr>
                      <w:color w:val="auto"/>
                      <w:szCs w:val="21"/>
                    </w:rPr>
                  </w:pPr>
                  <w:r>
                    <w:rPr>
                      <w:rFonts w:hint="eastAsia"/>
                      <w:color w:val="auto"/>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rPr>
                    <w:t>改进的机会</w:t>
                  </w:r>
                </w:p>
              </w:tc>
              <w:tc>
                <w:tcPr>
                  <w:tcW w:w="4620" w:type="dxa"/>
                </w:tcPr>
                <w:p>
                  <w:pPr>
                    <w:rPr>
                      <w:color w:val="auto"/>
                      <w:szCs w:val="21"/>
                    </w:rPr>
                  </w:pPr>
                  <w:r>
                    <w:rPr>
                      <w:rFonts w:hint="eastAsia"/>
                      <w:color w:val="auto"/>
                      <w:szCs w:val="21"/>
                    </w:rPr>
                    <w:t>进一步强化质量意识教育，加大方针、目标的贯彻力度，提高执行方针目标的自觉性和主动性。</w:t>
                  </w:r>
                </w:p>
              </w:tc>
              <w:tc>
                <w:tcPr>
                  <w:tcW w:w="2496" w:type="dxa"/>
                </w:tcPr>
                <w:p>
                  <w:pPr>
                    <w:widowControl/>
                    <w:spacing w:before="40"/>
                    <w:jc w:val="left"/>
                    <w:rPr>
                      <w:color w:val="auto"/>
                      <w:szCs w:val="21"/>
                    </w:rPr>
                  </w:pPr>
                  <w:r>
                    <w:rPr>
                      <w:rFonts w:hint="eastAsia"/>
                      <w:color w:val="auto"/>
                      <w:szCs w:val="21"/>
                    </w:rPr>
                    <w:t>☑</w:t>
                  </w:r>
                  <w:r>
                    <w:rPr>
                      <w:rFonts w:hint="eastAsia"/>
                      <w:color w:val="auto"/>
                    </w:rPr>
                    <w:t>已落实</w:t>
                  </w:r>
                  <w:r>
                    <w:rPr>
                      <w:rFonts w:hint="eastAsia"/>
                      <w:color w:val="auto"/>
                      <w:szCs w:val="21"/>
                    </w:rPr>
                    <w:t xml:space="preserve"> □</w:t>
                  </w:r>
                  <w:r>
                    <w:rPr>
                      <w:rFonts w:hint="eastAsia"/>
                      <w:color w:val="auto"/>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rPr>
                    <w:t>管理体系所需的变更</w:t>
                  </w:r>
                </w:p>
              </w:tc>
              <w:tc>
                <w:tcPr>
                  <w:tcW w:w="4620" w:type="dxa"/>
                </w:tcPr>
                <w:p>
                  <w:pPr>
                    <w:widowControl/>
                    <w:spacing w:before="40"/>
                    <w:jc w:val="left"/>
                    <w:rPr>
                      <w:color w:val="auto"/>
                      <w:szCs w:val="21"/>
                    </w:rPr>
                  </w:pPr>
                  <w:r>
                    <w:rPr>
                      <w:rFonts w:hint="eastAsia"/>
                      <w:color w:val="auto"/>
                      <w:szCs w:val="21"/>
                    </w:rPr>
                    <w:t>无</w:t>
                  </w:r>
                </w:p>
              </w:tc>
              <w:tc>
                <w:tcPr>
                  <w:tcW w:w="2496" w:type="dxa"/>
                </w:tcPr>
                <w:p>
                  <w:pPr>
                    <w:widowControl/>
                    <w:spacing w:before="40"/>
                    <w:jc w:val="left"/>
                    <w:rPr>
                      <w:color w:val="auto"/>
                      <w:szCs w:val="21"/>
                    </w:rPr>
                  </w:pPr>
                  <w:r>
                    <w:rPr>
                      <w:rFonts w:hint="eastAsia"/>
                      <w:color w:val="auto"/>
                      <w:szCs w:val="21"/>
                    </w:rPr>
                    <w:t>□</w:t>
                  </w:r>
                  <w:r>
                    <w:rPr>
                      <w:rFonts w:hint="eastAsia"/>
                      <w:color w:val="auto"/>
                    </w:rPr>
                    <w:t>已落实</w:t>
                  </w:r>
                  <w:r>
                    <w:rPr>
                      <w:rFonts w:hint="eastAsia"/>
                      <w:color w:val="auto"/>
                      <w:szCs w:val="21"/>
                    </w:rPr>
                    <w:t xml:space="preserve"> □</w:t>
                  </w:r>
                  <w:r>
                    <w:rPr>
                      <w:rFonts w:hint="eastAsia"/>
                      <w:color w:val="auto"/>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rPr>
                    <w:t>资源需求</w:t>
                  </w:r>
                </w:p>
              </w:tc>
              <w:tc>
                <w:tcPr>
                  <w:tcW w:w="4620" w:type="dxa"/>
                </w:tcPr>
                <w:p>
                  <w:pPr>
                    <w:widowControl/>
                    <w:spacing w:before="40"/>
                    <w:jc w:val="left"/>
                    <w:rPr>
                      <w:color w:val="auto"/>
                      <w:szCs w:val="21"/>
                    </w:rPr>
                  </w:pPr>
                  <w:r>
                    <w:rPr>
                      <w:rFonts w:hint="eastAsia"/>
                      <w:color w:val="auto"/>
                      <w:szCs w:val="21"/>
                    </w:rPr>
                    <w:t>无</w:t>
                  </w:r>
                </w:p>
              </w:tc>
              <w:tc>
                <w:tcPr>
                  <w:tcW w:w="2496" w:type="dxa"/>
                </w:tcPr>
                <w:p>
                  <w:pPr>
                    <w:widowControl/>
                    <w:spacing w:before="40"/>
                    <w:jc w:val="left"/>
                    <w:rPr>
                      <w:color w:val="auto"/>
                      <w:szCs w:val="21"/>
                    </w:rPr>
                  </w:pPr>
                  <w:r>
                    <w:rPr>
                      <w:rFonts w:hint="eastAsia"/>
                      <w:color w:val="auto"/>
                      <w:szCs w:val="21"/>
                    </w:rPr>
                    <w:t>□</w:t>
                  </w:r>
                  <w:r>
                    <w:rPr>
                      <w:rFonts w:hint="eastAsia"/>
                      <w:color w:val="auto"/>
                    </w:rPr>
                    <w:t>已落实</w:t>
                  </w:r>
                  <w:r>
                    <w:rPr>
                      <w:rFonts w:hint="eastAsia"/>
                      <w:color w:val="auto"/>
                      <w:szCs w:val="21"/>
                    </w:rPr>
                    <w:t xml:space="preserve"> □</w:t>
                  </w:r>
                  <w:r>
                    <w:rPr>
                      <w:rFonts w:hint="eastAsia"/>
                      <w:color w:val="auto"/>
                    </w:rPr>
                    <w:t>已部分落实</w:t>
                  </w:r>
                </w:p>
              </w:tc>
            </w:tr>
          </w:tbl>
          <w:p>
            <w:pPr>
              <w:rPr>
                <w:color w:val="auto"/>
              </w:rPr>
            </w:pPr>
          </w:p>
        </w:tc>
        <w:tc>
          <w:tcPr>
            <w:tcW w:w="1585" w:type="dxa"/>
            <w:vMerge w:val="continue"/>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auto"/>
              </w:rPr>
            </w:pPr>
            <w:r>
              <w:rPr>
                <w:rFonts w:hint="eastAsia"/>
                <w:color w:val="auto"/>
              </w:rPr>
              <w:t>改进</w:t>
            </w:r>
          </w:p>
        </w:tc>
        <w:tc>
          <w:tcPr>
            <w:tcW w:w="960" w:type="dxa"/>
            <w:vMerge w:val="restart"/>
          </w:tcPr>
          <w:p>
            <w:pPr>
              <w:rPr>
                <w:color w:val="auto"/>
              </w:rPr>
            </w:pPr>
            <w:r>
              <w:rPr>
                <w:rFonts w:hint="eastAsia"/>
                <w:color w:val="auto"/>
              </w:rPr>
              <w:t>Q10.1</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管理手册10.1章</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 xml:space="preserve">组织确定了改进机会，并采取必要措施，以实现其质量管理 体系的预期结果。。 </w:t>
            </w:r>
          </w:p>
          <w:p>
            <w:pPr>
              <w:rPr>
                <w:color w:val="auto"/>
              </w:rPr>
            </w:pPr>
            <w:r>
              <w:rPr>
                <w:rFonts w:hint="eastAsia"/>
                <w:color w:val="auto"/>
              </w:rPr>
              <w:t xml:space="preserve">这包括： </w:t>
            </w:r>
          </w:p>
          <w:p>
            <w:pPr>
              <w:rPr>
                <w:color w:val="auto"/>
              </w:rPr>
            </w:pPr>
            <w:r>
              <w:rPr>
                <w:rFonts w:hint="eastAsia"/>
                <w:color w:val="auto"/>
              </w:rPr>
              <w:sym w:font="Wingdings" w:char="00FE"/>
            </w:r>
            <w:r>
              <w:rPr>
                <w:rFonts w:hint="eastAsia"/>
                <w:color w:val="auto"/>
              </w:rPr>
              <w:t xml:space="preserve">改进产品和服务，以满足相关方要求并应对其需求和期望； </w:t>
            </w:r>
          </w:p>
          <w:p>
            <w:pPr>
              <w:rPr>
                <w:color w:val="auto"/>
              </w:rPr>
            </w:pPr>
            <w:r>
              <w:rPr>
                <w:rFonts w:hint="eastAsia"/>
                <w:color w:val="auto"/>
              </w:rPr>
              <w:sym w:font="Wingdings" w:char="00FE"/>
            </w:r>
            <w:r>
              <w:rPr>
                <w:rFonts w:hint="eastAsia"/>
                <w:color w:val="auto"/>
              </w:rPr>
              <w:t xml:space="preserve">纠正、预防或减少不利影响； </w:t>
            </w:r>
          </w:p>
          <w:p>
            <w:pPr>
              <w:rPr>
                <w:color w:val="auto"/>
              </w:rPr>
            </w:pPr>
            <w:r>
              <w:rPr>
                <w:rFonts w:hint="eastAsia"/>
                <w:color w:val="auto"/>
              </w:rPr>
              <w:sym w:font="Wingdings" w:char="00FE"/>
            </w:r>
            <w:r>
              <w:rPr>
                <w:rFonts w:hint="eastAsia"/>
                <w:color w:val="auto"/>
              </w:rPr>
              <w:t xml:space="preserve">改进质量管理 体系的绩效和有效性。 </w:t>
            </w:r>
          </w:p>
          <w:p>
            <w:pPr>
              <w:rPr>
                <w:color w:val="auto"/>
              </w:rPr>
            </w:pPr>
          </w:p>
          <w:p>
            <w:pPr>
              <w:rPr>
                <w:color w:val="auto"/>
              </w:rPr>
            </w:pPr>
            <w:r>
              <w:rPr>
                <w:rFonts w:hint="eastAsia"/>
                <w:color w:val="auto"/>
              </w:rPr>
              <w:t xml:space="preserve">改进包括：纠正、纠正措施、持续改进、突破性变革、创新和重组。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auto"/>
              </w:rPr>
            </w:pPr>
            <w:r>
              <w:rPr>
                <w:rFonts w:hint="eastAsia"/>
                <w:color w:val="auto"/>
              </w:rPr>
              <w:t>持续改进</w:t>
            </w:r>
          </w:p>
        </w:tc>
        <w:tc>
          <w:tcPr>
            <w:tcW w:w="960" w:type="dxa"/>
            <w:vMerge w:val="restart"/>
          </w:tcPr>
          <w:p>
            <w:pPr>
              <w:rPr>
                <w:color w:val="auto"/>
              </w:rPr>
            </w:pPr>
            <w:r>
              <w:rPr>
                <w:rFonts w:hint="eastAsia"/>
                <w:color w:val="auto"/>
              </w:rPr>
              <w:t>Q10.3</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管理手册10.3章</w:t>
            </w:r>
          </w:p>
        </w:tc>
        <w:tc>
          <w:tcPr>
            <w:tcW w:w="1585" w:type="dxa"/>
            <w:vMerge w:val="restart"/>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 xml:space="preserve">组织已持续改进质量管理 体系的适宜性、充分性和有效性，以提升质量绩效。 </w:t>
            </w:r>
          </w:p>
          <w:p>
            <w:pPr>
              <w:rPr>
                <w:color w:val="auto"/>
              </w:rPr>
            </w:pPr>
            <w:r>
              <w:rPr>
                <w:rFonts w:hint="eastAsia"/>
                <w:color w:val="auto"/>
              </w:rPr>
              <w:t>组织考虑了分析和评价的结果以及管理评审的输出，确定是否存在需求或机遇，这些需求或机遇应作为持续改进的一部分加以应对。</w:t>
            </w:r>
          </w:p>
          <w:p>
            <w:pPr>
              <w:rPr>
                <w:color w:val="auto"/>
              </w:rPr>
            </w:pPr>
          </w:p>
          <w:p>
            <w:pPr>
              <w:rPr>
                <w:color w:val="auto"/>
              </w:rPr>
            </w:pPr>
            <w:r>
              <w:rPr>
                <w:rFonts w:hint="eastAsia"/>
                <w:color w:val="auto"/>
              </w:rPr>
              <w:sym w:font="Wingdings" w:char="00FE"/>
            </w:r>
            <w:r>
              <w:rPr>
                <w:rFonts w:hint="eastAsia"/>
                <w:color w:val="auto"/>
              </w:rPr>
              <w:t xml:space="preserve"> 改进措施已落实</w:t>
            </w:r>
          </w:p>
          <w:p>
            <w:pPr>
              <w:rPr>
                <w:color w:val="auto"/>
              </w:rPr>
            </w:pPr>
            <w:r>
              <w:rPr>
                <w:rFonts w:hint="eastAsia"/>
                <w:color w:val="auto"/>
              </w:rPr>
              <w:sym w:font="Wingdings" w:char="00A8"/>
            </w:r>
            <w:r>
              <w:rPr>
                <w:rFonts w:hint="eastAsia"/>
                <w:color w:val="auto"/>
              </w:rPr>
              <w:t xml:space="preserve"> 改进措施未落实的原因：</w:t>
            </w:r>
            <w:r>
              <w:rPr>
                <w:rFonts w:hint="eastAsia"/>
                <w:color w:val="auto"/>
                <w:u w:val="single"/>
              </w:rPr>
              <w:t xml:space="preserve">                              </w:t>
            </w:r>
          </w:p>
        </w:tc>
        <w:tc>
          <w:tcPr>
            <w:tcW w:w="1585" w:type="dxa"/>
            <w:vMerge w:val="continue"/>
          </w:tcPr>
          <w:p>
            <w:pPr>
              <w:rPr>
                <w:color w:val="auto"/>
              </w:rPr>
            </w:pPr>
          </w:p>
        </w:tc>
      </w:tr>
    </w:tbl>
    <w:p>
      <w:pPr>
        <w:pStyle w:val="4"/>
      </w:pPr>
      <w:r>
        <w:rPr>
          <w:rFonts w:hint="eastAsia"/>
        </w:rPr>
        <w:t>说明：不符合标注N</w:t>
      </w:r>
    </w:p>
    <w:sectPr>
      <w:headerReference r:id="rId3" w:type="default"/>
      <w:footerReference r:id="rId4" w:type="default"/>
      <w:pgSz w:w="16838" w:h="11906" w:orient="landscape"/>
      <w:pgMar w:top="1440" w:right="1080" w:bottom="993" w:left="1080" w:header="851" w:footer="72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Comic Sans MS">
    <w:panose1 w:val="030F0702030302020204"/>
    <w:charset w:val="00"/>
    <w:family w:val="script"/>
    <w:pitch w:val="default"/>
    <w:sig w:usb0="00000287" w:usb1="00000000" w:usb2="00000000" w:usb3="00000000" w:csb0="2000009F" w:csb1="00000000"/>
  </w:font>
  <w:font w:name="DFKai-SB">
    <w:panose1 w:val="03000509000000000000"/>
    <w:charset w:val="88"/>
    <w:family w:val="script"/>
    <w:pitch w:val="default"/>
    <w:sig w:usb0="00000003" w:usb1="082E0000"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Segoe UI Emoji">
    <w:altName w:val="Segoe UI"/>
    <w:panose1 w:val="020B0502040204020203"/>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DYQ9Kv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Z8wZkTlkZ0+Pnj8Ovh8Ps7myd7Rh9qQt16wsXpA0w05qd8oGRS&#10;PXVo05/0MKqT0fuzuWqKTFKyml8uFiWVJNWq5cVykd0vnk97DPGTAsvSouFIw8ueit3nEKkTgj5B&#10;0mUBjG432pi8wX770SDbCRr0Jn+pSTryF8w4Njb8/bJaZmYH6fwRZxzBk9ijqLSK03Y6ObCFdk8G&#10;3HvU/UDNZQsynAaT7zk9ojT5P/eZ9Pmpr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Qaq5dYA&#10;AAAKAQAADwAAAAAAAAABACAAAAAiAAAAZHJzL2Rvd25yZXYueG1sUEsBAhQAFAAAAAgAh07iQNDY&#10;Q9KvAQAAMgMAAA4AAAAAAAAAAQAgAAAAJQEAAGRycy9lMm9Eb2MueG1sUEsFBgAAAAAGAAYAWQEA&#10;AE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400E2"/>
    <w:rsid w:val="00057597"/>
    <w:rsid w:val="00062E46"/>
    <w:rsid w:val="00067228"/>
    <w:rsid w:val="0008031F"/>
    <w:rsid w:val="00090B78"/>
    <w:rsid w:val="000E6B21"/>
    <w:rsid w:val="00100ED0"/>
    <w:rsid w:val="00111954"/>
    <w:rsid w:val="0016385F"/>
    <w:rsid w:val="00165975"/>
    <w:rsid w:val="001A2D7F"/>
    <w:rsid w:val="001B1382"/>
    <w:rsid w:val="00267956"/>
    <w:rsid w:val="00274468"/>
    <w:rsid w:val="002939AD"/>
    <w:rsid w:val="002D6A57"/>
    <w:rsid w:val="002D782F"/>
    <w:rsid w:val="00310F38"/>
    <w:rsid w:val="00314AF6"/>
    <w:rsid w:val="00337922"/>
    <w:rsid w:val="00340867"/>
    <w:rsid w:val="00376629"/>
    <w:rsid w:val="00380837"/>
    <w:rsid w:val="00395A10"/>
    <w:rsid w:val="003A198A"/>
    <w:rsid w:val="00410914"/>
    <w:rsid w:val="004177C7"/>
    <w:rsid w:val="00420AFE"/>
    <w:rsid w:val="00424582"/>
    <w:rsid w:val="004610C1"/>
    <w:rsid w:val="0048201E"/>
    <w:rsid w:val="004F2F31"/>
    <w:rsid w:val="00506858"/>
    <w:rsid w:val="00514850"/>
    <w:rsid w:val="00517164"/>
    <w:rsid w:val="00520641"/>
    <w:rsid w:val="00522E1B"/>
    <w:rsid w:val="00536930"/>
    <w:rsid w:val="00564E53"/>
    <w:rsid w:val="005D5659"/>
    <w:rsid w:val="00600C20"/>
    <w:rsid w:val="00624057"/>
    <w:rsid w:val="0063533A"/>
    <w:rsid w:val="00644FE2"/>
    <w:rsid w:val="00646FC8"/>
    <w:rsid w:val="00655073"/>
    <w:rsid w:val="0067640C"/>
    <w:rsid w:val="00690B7B"/>
    <w:rsid w:val="006B45BF"/>
    <w:rsid w:val="006C47CD"/>
    <w:rsid w:val="006D0CAD"/>
    <w:rsid w:val="006D2207"/>
    <w:rsid w:val="006D28FE"/>
    <w:rsid w:val="006D3FDD"/>
    <w:rsid w:val="006E678B"/>
    <w:rsid w:val="006E7B1D"/>
    <w:rsid w:val="006F0668"/>
    <w:rsid w:val="00733CA0"/>
    <w:rsid w:val="00746E5F"/>
    <w:rsid w:val="007757F3"/>
    <w:rsid w:val="00783D25"/>
    <w:rsid w:val="00796967"/>
    <w:rsid w:val="007C1B48"/>
    <w:rsid w:val="007D72FB"/>
    <w:rsid w:val="007E3B15"/>
    <w:rsid w:val="007E6AEB"/>
    <w:rsid w:val="008973EE"/>
    <w:rsid w:val="008D393D"/>
    <w:rsid w:val="009622B9"/>
    <w:rsid w:val="00971600"/>
    <w:rsid w:val="009933A0"/>
    <w:rsid w:val="009973B4"/>
    <w:rsid w:val="009C28C1"/>
    <w:rsid w:val="009F7EED"/>
    <w:rsid w:val="00A01C12"/>
    <w:rsid w:val="00A102D2"/>
    <w:rsid w:val="00A12272"/>
    <w:rsid w:val="00A3335F"/>
    <w:rsid w:val="00A47BA4"/>
    <w:rsid w:val="00A60B37"/>
    <w:rsid w:val="00A71A3A"/>
    <w:rsid w:val="00A80636"/>
    <w:rsid w:val="00AB7774"/>
    <w:rsid w:val="00AF0AAB"/>
    <w:rsid w:val="00AF1F40"/>
    <w:rsid w:val="00B224A0"/>
    <w:rsid w:val="00BE0F6E"/>
    <w:rsid w:val="00BF597E"/>
    <w:rsid w:val="00C210A7"/>
    <w:rsid w:val="00C23E34"/>
    <w:rsid w:val="00C51A36"/>
    <w:rsid w:val="00C55228"/>
    <w:rsid w:val="00C63768"/>
    <w:rsid w:val="00C842A5"/>
    <w:rsid w:val="00C85D67"/>
    <w:rsid w:val="00C966CA"/>
    <w:rsid w:val="00CC3E19"/>
    <w:rsid w:val="00CE315A"/>
    <w:rsid w:val="00D03218"/>
    <w:rsid w:val="00D06F59"/>
    <w:rsid w:val="00D075CD"/>
    <w:rsid w:val="00D263DA"/>
    <w:rsid w:val="00D8388C"/>
    <w:rsid w:val="00D95637"/>
    <w:rsid w:val="00DA1A69"/>
    <w:rsid w:val="00DA328B"/>
    <w:rsid w:val="00DD5DF1"/>
    <w:rsid w:val="00E02525"/>
    <w:rsid w:val="00E05DE1"/>
    <w:rsid w:val="00E6224C"/>
    <w:rsid w:val="00E70863"/>
    <w:rsid w:val="00E95A4D"/>
    <w:rsid w:val="00EB0164"/>
    <w:rsid w:val="00ED0F62"/>
    <w:rsid w:val="00F029B1"/>
    <w:rsid w:val="00F37C2A"/>
    <w:rsid w:val="00F573A6"/>
    <w:rsid w:val="00F77C4E"/>
    <w:rsid w:val="00FE3EEF"/>
    <w:rsid w:val="011B7BAC"/>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3FF3D01"/>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1D7005"/>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1FC03E5"/>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A3EC8"/>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04309C"/>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826</Words>
  <Characters>4709</Characters>
  <Lines>39</Lines>
  <Paragraphs>11</Paragraphs>
  <TotalTime>0</TotalTime>
  <ScaleCrop>false</ScaleCrop>
  <LinksUpToDate>false</LinksUpToDate>
  <CharactersWithSpaces>5524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2020-07-17T22:55:00Z</dcterms:created>
  <dc:creator>微软用户</dc:creator>
  <cp:lastModifiedBy>歼击机 天佑爸</cp:lastModifiedBy>
  <dcterms:modified xsi:type="dcterms:W3CDTF">2020-07-18T08:31:03Z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