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35"/>
        <w:gridCol w:w="10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李侠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（现场）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cs="Arial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cs="Arial"/>
                <w:bCs/>
                <w:szCs w:val="21"/>
              </w:rPr>
              <w:t>6.1.2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6.1.3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6.1.4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 xml:space="preserve"> 6.2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7.2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7.3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7.4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7.5 8.1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8.2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9.1.1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9.1.2</w:t>
            </w:r>
            <w:r>
              <w:rPr>
                <w:rFonts w:hint="eastAsia" w:cs="Arial"/>
                <w:bCs/>
                <w:szCs w:val="21"/>
              </w:rPr>
              <w:t>/</w:t>
            </w:r>
            <w:r>
              <w:rPr>
                <w:rFonts w:cs="Arial"/>
                <w:bCs/>
                <w:szCs w:val="21"/>
              </w:rPr>
              <w:t>9.2 10.2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如：手册第6.1.2条款、《环境因素识别与评价控制程序》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合规义务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E6.1.3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4"/>
                <w:szCs w:val="28"/>
              </w:rPr>
              <w:t>合规性评价控制程序</w:t>
            </w:r>
            <w:r>
              <w:rPr>
                <w:rFonts w:hint="eastAsia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4"/>
                <w:szCs w:val="28"/>
              </w:rPr>
              <w:t xml:space="preserve"> 法律法规和其他要求控制程序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专业网站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主管机构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专业书店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6"/>
              <w:tblW w:w="0" w:type="auto"/>
              <w:tblInd w:w="4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szCs w:val="21"/>
                    </w:rPr>
                    <w:t>GB50140</w:t>
                  </w:r>
                  <w:r>
                    <w:rPr>
                      <w:rFonts w:hint="eastAsia"/>
                      <w:szCs w:val="21"/>
                    </w:rPr>
                    <w:t>《建筑灭火配置设计规范》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消防灭火器按规定摆放，并对相关人员进行培训和演练。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根据该企业的产品/服务特性确认环境影响评价的种类：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环境影响登记表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环境影响报告书 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r>
              <w:rPr>
                <w:rFonts w:hint="eastAsia"/>
              </w:rPr>
              <w:t xml:space="preserve">《环评验收报告》编号： 无     颁发日期： </w:t>
            </w:r>
          </w:p>
          <w:p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如：手册第6.1.4条款、《环境目标、指标管理方汇总表》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3707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7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收集集中，交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物业统一处理；制定方案和应急救援预案、定期演练预案、日常进行消防检查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分解与考核》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火灾爆炸事故为0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</w:pPr>
                  <w:r>
                    <w:rPr>
                      <w:rFonts w:hint="eastAsia"/>
                      <w:szCs w:val="21"/>
                    </w:rPr>
                    <w:t>固体废弃物分类收集处置率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如：《人员安排控制程序》《员工任职资格评价表》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cyan"/>
              </w:rPr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查看《员工任职资格评价表》☑充分有效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不足，说明：                                </w:t>
            </w:r>
          </w:p>
          <w:p>
            <w:r>
              <w:rPr>
                <w:rFonts w:hint="eastAsia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万梦云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工作经历： 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专科/会计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张明明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工作经历： 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专科/建筑工程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高压电工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孔令来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工作经历： 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安全负责人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李侠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工作经历： 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</w:tbl>
          <w:p/>
          <w:p>
            <w:r>
              <w:t>获得所需的能力</w:t>
            </w:r>
            <w:r>
              <w:rPr>
                <w:rFonts w:hint="eastAsia"/>
              </w:rPr>
              <w:t>所</w:t>
            </w:r>
            <w:r>
              <w:t>采取措施</w:t>
            </w:r>
            <w:r>
              <w:rPr>
                <w:rFonts w:hint="eastAsia"/>
              </w:rPr>
              <w:t>：</w:t>
            </w:r>
            <w:r>
              <w:t>☑</w:t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管理人员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操作人员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</w:tbl>
          <w:p/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倪良根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T340122197712288131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继电保护作业）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张明明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T340122198503233315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2024-11-8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李侠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T340122198911106278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董景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T340122198902086471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2025-10-25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孔令来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34012219781025293301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2025-5-15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张明明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T340122198503233315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倪良根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皖建安A（2017）0112337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2023-7-28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王洋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皖建安C（2013）0177105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2022-11-14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万梦云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T340122199601066025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2025-11-17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张壮壮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34012219870830287101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2020-5-15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有《年度培训计划》、试卷、《培训记录表》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10号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GB/T19001-2016标准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GB/T24001-2016标准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ISO45001:2018标准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2020-4-25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GB/T19001-2016-2015GB/T24001-2016标准 ISO45001:2018标准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管理体系内部审核员知识培训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2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2020-6-16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法律、法规知识培训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/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《人员安排控制程序》、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组织工作人员提高环保意识的方式： </w:t>
            </w:r>
          </w:p>
          <w:p/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环境方针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对环境管理体系有效性的贡献，包括提升环境绩效的贡献；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不符合环境管理体系要求，包括未履行组织合规义务的后果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bookmarkStart w:id="0" w:name="_GoBack" w:colFirst="3" w:colLast="3"/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  <w:color w:val="auto"/>
              </w:rPr>
              <w:t>如：《</w:t>
            </w:r>
            <w:r>
              <w:rPr>
                <w:rFonts w:hint="eastAsia"/>
                <w:color w:val="auto"/>
                <w:szCs w:val="21"/>
              </w:rPr>
              <w:t>信息沟通控制程序》、手册第7.4条款、《员工协商和沟通计划》、《沟通事项清单》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7"/>
              <w:tblW w:w="88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472"/>
              <w:gridCol w:w="1984"/>
              <w:gridCol w:w="1507"/>
              <w:gridCol w:w="1507"/>
              <w:gridCol w:w="1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日期</w:t>
                  </w:r>
                </w:p>
              </w:tc>
              <w:tc>
                <w:tcPr>
                  <w:tcW w:w="147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的内容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责任部门</w:t>
                  </w:r>
                </w:p>
              </w:tc>
              <w:tc>
                <w:tcPr>
                  <w:tcW w:w="1149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2</w:t>
                  </w:r>
                  <w:r>
                    <w:rPr>
                      <w:color w:val="auto"/>
                      <w:szCs w:val="21"/>
                    </w:rPr>
                    <w:t>020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color w:val="auto"/>
                      <w:szCs w:val="21"/>
                    </w:rPr>
                    <w:t>04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color w:val="auto"/>
                      <w:szCs w:val="21"/>
                    </w:rPr>
                    <w:t>25</w:t>
                  </w:r>
                </w:p>
              </w:tc>
              <w:tc>
                <w:tcPr>
                  <w:tcW w:w="147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顾客问询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工程部技术人员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电话、邮件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工程部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7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color w:val="auto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szCs w:val="21"/>
                    </w:rPr>
                  </w:pPr>
                </w:p>
              </w:tc>
              <w:tc>
                <w:tcPr>
                  <w:tcW w:w="1149" w:type="dxa"/>
                </w:tcPr>
                <w:p>
                  <w:pPr>
                    <w:rPr>
                      <w:rFonts w:hint="eastAsia"/>
                      <w:color w:val="auto"/>
                      <w:szCs w:val="21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质量、环境和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职业健康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安全管理体系标准贯标沟通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讲解、讨论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员工代表推荐与选举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会议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制定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职业健康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环境安全方针、目标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相关人员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会议、讨论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危险源辨识、风险评价与风险控制的制定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相关人员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会议、讨论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如：《文件控制程序》、《记录控制程序》、《信息沟通控制程序》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人力资源管理制度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万梦云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消防法（修订）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万梦云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安全生产法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万梦云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供方调查 评价表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不合格品评审处置记录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供方评定</w:t>
            </w:r>
            <w:r>
              <w:rPr>
                <w:rFonts w:hint="eastAsia"/>
                <w:u w:val="single"/>
              </w:rPr>
              <w:t>表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远东电缆有限公司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320282000201705160325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苏）</w:t>
                  </w:r>
                  <w:r>
                    <w:rPr>
                      <w:rFonts w:hint="eastAsia"/>
                      <w:u w:val="single"/>
                    </w:rPr>
                    <w:t>XK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-00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-00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038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2002010105016006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环宇集团（南京）有限公司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高低压成套设备、干式变压器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320121000201902010003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2012010301583840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</w:t>
                  </w:r>
                  <w:r>
                    <w:rPr>
                      <w:rFonts w:hint="eastAsia"/>
                      <w:color w:val="auto"/>
                    </w:rPr>
                    <w:t>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00901-A2015CCC0301-2050287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高低压成套设备</w:t>
            </w:r>
            <w:r>
              <w:rPr>
                <w:rFonts w:hint="eastAsia"/>
              </w:rPr>
              <w:t>的供方合肥希尔凯电气有限公司</w:t>
            </w:r>
            <w:r>
              <w:rPr>
                <w:rFonts w:hint="eastAsia"/>
                <w:vertAlign w:val="superscript"/>
              </w:rPr>
              <w:t>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在门卫确认是否存在未收集运送危化品（货物）车辆的相关材料。（不涉及）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查看车辆检查记录：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抽查车辆，车牌号：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驾驶员许可证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押运员许可证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车况（含泄露）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防静电（接地链）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如手册8.1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危险废弃物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生活垃圾由物业统一处理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pStyle w:val="2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现场查《消防点检记录表》，未能及时点检。部分干粉灭火器压力超标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危险废弃物处置：无危废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4"/>
              <w:gridCol w:w="4440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危废名称：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危险废物的性质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易燃易爆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有毒有害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有腐蚀性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危废处置方名称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危化品经营许可证号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处置合同期限/内容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转移联单日期/编号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转移的品种/数量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危废运输方名称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危化品运输许可证号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2020.4.15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高空坠落专项应急预案演练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2020.4.25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如：《环境监视与测量程序》、手册第9.1.1条款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了解用于环境监测的监视和测量资源种类： 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安全阀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可燃气体报警器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抽查验证记录日期：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未按照验证计划实施；说明                         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公司消防设施配置及消防安全巡查记录表</w:t>
            </w:r>
            <w:r>
              <w:rPr>
                <w:rFonts w:hint="eastAsia"/>
                <w:u w:val="single"/>
              </w:rPr>
              <w:t xml:space="preserve">》，《 </w:t>
            </w:r>
            <w:r>
              <w:rPr>
                <w:rFonts w:hint="eastAsia"/>
                <w:u w:val="single"/>
                <w:lang w:val="en-US" w:eastAsia="zh-CN"/>
              </w:rPr>
              <w:t>废弃物处理登记表</w:t>
            </w:r>
            <w:r>
              <w:rPr>
                <w:rFonts w:hint="eastAsia"/>
                <w:u w:val="single"/>
              </w:rPr>
              <w:t xml:space="preserve"> 》</w:t>
            </w:r>
          </w:p>
          <w:p>
            <w:pPr>
              <w:jc w:val="center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第三方监测：</w:t>
            </w:r>
          </w:p>
          <w:p>
            <w:r>
              <w:rPr>
                <w:rFonts w:hint="eastAsia"/>
              </w:rPr>
              <w:t xml:space="preserve">作业场所有害物质浓度检测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第三方《监测报告》编号：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资质证书编号：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结论：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超标，说明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 w:val="24"/>
                <w:szCs w:val="28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近一年，合规义务如下：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污水综合排放标准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2020-1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5"/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2020-1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5"/>
                    <w:rPr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296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综合部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工程部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7.5.3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Arial" w:hAnsi="Arial"/>
              </w:rPr>
              <w:t>不合格品与潜在不合格控制程序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未发现 </w:t>
            </w:r>
          </w:p>
          <w:p>
            <w:r>
              <w:rPr>
                <w:rFonts w:hint="eastAsia"/>
              </w:rPr>
              <w:t xml:space="preserve">抽查采取纠正措施相关记录名称：《  》     </w:t>
            </w:r>
          </w:p>
          <w:p>
            <w:r>
              <w:rPr>
                <w:rFonts w:hint="eastAsia"/>
              </w:rPr>
              <w:t>事件、不符合的来源：未发生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/>
              </w:tc>
              <w:tc>
                <w:tcPr>
                  <w:tcW w:w="1347" w:type="dxa"/>
                </w:tcPr>
                <w:p/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调查事件和评审不符合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在采取措施前，评价与新的或变化的危险源相关的职业健康安全风险；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在必要时，变更职业健康安全管理体系。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4907"/>
    <w:rsid w:val="000237F6"/>
    <w:rsid w:val="0002712F"/>
    <w:rsid w:val="0003373A"/>
    <w:rsid w:val="000400E2"/>
    <w:rsid w:val="00041E0B"/>
    <w:rsid w:val="0004257F"/>
    <w:rsid w:val="00060D07"/>
    <w:rsid w:val="00062E46"/>
    <w:rsid w:val="000636E4"/>
    <w:rsid w:val="000A2E58"/>
    <w:rsid w:val="000D518E"/>
    <w:rsid w:val="000E6B21"/>
    <w:rsid w:val="00117563"/>
    <w:rsid w:val="001179E3"/>
    <w:rsid w:val="001460B6"/>
    <w:rsid w:val="001733DD"/>
    <w:rsid w:val="001803D4"/>
    <w:rsid w:val="00184480"/>
    <w:rsid w:val="001878C8"/>
    <w:rsid w:val="001961A3"/>
    <w:rsid w:val="001A2D7F"/>
    <w:rsid w:val="001A41B6"/>
    <w:rsid w:val="001D2678"/>
    <w:rsid w:val="001D6769"/>
    <w:rsid w:val="001E57F3"/>
    <w:rsid w:val="00214612"/>
    <w:rsid w:val="00214C42"/>
    <w:rsid w:val="00253BCD"/>
    <w:rsid w:val="002939AD"/>
    <w:rsid w:val="002B1A82"/>
    <w:rsid w:val="002C4DD6"/>
    <w:rsid w:val="002F1319"/>
    <w:rsid w:val="002F1FC5"/>
    <w:rsid w:val="00314AF6"/>
    <w:rsid w:val="00337922"/>
    <w:rsid w:val="003379B8"/>
    <w:rsid w:val="00340867"/>
    <w:rsid w:val="00342E19"/>
    <w:rsid w:val="00350AF8"/>
    <w:rsid w:val="00380837"/>
    <w:rsid w:val="0039011B"/>
    <w:rsid w:val="003A198A"/>
    <w:rsid w:val="003B6011"/>
    <w:rsid w:val="003C0EAA"/>
    <w:rsid w:val="003F75A7"/>
    <w:rsid w:val="004018BC"/>
    <w:rsid w:val="0040366D"/>
    <w:rsid w:val="00410914"/>
    <w:rsid w:val="00411472"/>
    <w:rsid w:val="004177C7"/>
    <w:rsid w:val="00432084"/>
    <w:rsid w:val="00474951"/>
    <w:rsid w:val="0048201E"/>
    <w:rsid w:val="0048627B"/>
    <w:rsid w:val="00495E86"/>
    <w:rsid w:val="004B518B"/>
    <w:rsid w:val="00507562"/>
    <w:rsid w:val="00517D50"/>
    <w:rsid w:val="005233F8"/>
    <w:rsid w:val="005258AF"/>
    <w:rsid w:val="00530B54"/>
    <w:rsid w:val="00536930"/>
    <w:rsid w:val="00541A26"/>
    <w:rsid w:val="00545123"/>
    <w:rsid w:val="00564E53"/>
    <w:rsid w:val="00576579"/>
    <w:rsid w:val="00586733"/>
    <w:rsid w:val="0059239F"/>
    <w:rsid w:val="005B387F"/>
    <w:rsid w:val="005B397E"/>
    <w:rsid w:val="005C3F0E"/>
    <w:rsid w:val="005D5659"/>
    <w:rsid w:val="005E123B"/>
    <w:rsid w:val="005F0F91"/>
    <w:rsid w:val="00600C20"/>
    <w:rsid w:val="00605A57"/>
    <w:rsid w:val="00622B08"/>
    <w:rsid w:val="00633FAE"/>
    <w:rsid w:val="00644FE2"/>
    <w:rsid w:val="00664B74"/>
    <w:rsid w:val="00665A35"/>
    <w:rsid w:val="0067640C"/>
    <w:rsid w:val="00683EAB"/>
    <w:rsid w:val="006A6273"/>
    <w:rsid w:val="006E250E"/>
    <w:rsid w:val="006E678B"/>
    <w:rsid w:val="006E7B1D"/>
    <w:rsid w:val="00701156"/>
    <w:rsid w:val="007023D8"/>
    <w:rsid w:val="00704548"/>
    <w:rsid w:val="007076DA"/>
    <w:rsid w:val="0071190B"/>
    <w:rsid w:val="00722EA9"/>
    <w:rsid w:val="00745E88"/>
    <w:rsid w:val="00751E49"/>
    <w:rsid w:val="007757F3"/>
    <w:rsid w:val="007767F6"/>
    <w:rsid w:val="007B5B0C"/>
    <w:rsid w:val="007C1B48"/>
    <w:rsid w:val="007D0A41"/>
    <w:rsid w:val="007E3B15"/>
    <w:rsid w:val="007E6AEB"/>
    <w:rsid w:val="007F0840"/>
    <w:rsid w:val="00805183"/>
    <w:rsid w:val="0081694C"/>
    <w:rsid w:val="00831D00"/>
    <w:rsid w:val="00834251"/>
    <w:rsid w:val="00855C12"/>
    <w:rsid w:val="0088292B"/>
    <w:rsid w:val="008973EE"/>
    <w:rsid w:val="008D472F"/>
    <w:rsid w:val="008D50F5"/>
    <w:rsid w:val="008E16B9"/>
    <w:rsid w:val="008F3142"/>
    <w:rsid w:val="008F5E0B"/>
    <w:rsid w:val="00944B78"/>
    <w:rsid w:val="00971600"/>
    <w:rsid w:val="00972B27"/>
    <w:rsid w:val="00977549"/>
    <w:rsid w:val="00980614"/>
    <w:rsid w:val="00987C33"/>
    <w:rsid w:val="009973B4"/>
    <w:rsid w:val="009B7954"/>
    <w:rsid w:val="009C1521"/>
    <w:rsid w:val="009C28C1"/>
    <w:rsid w:val="009C5546"/>
    <w:rsid w:val="009D61F2"/>
    <w:rsid w:val="009F69A6"/>
    <w:rsid w:val="009F7EED"/>
    <w:rsid w:val="00A02C2E"/>
    <w:rsid w:val="00A1181B"/>
    <w:rsid w:val="00A20DAA"/>
    <w:rsid w:val="00A31476"/>
    <w:rsid w:val="00A33CD9"/>
    <w:rsid w:val="00A41E50"/>
    <w:rsid w:val="00A55AD9"/>
    <w:rsid w:val="00A71F43"/>
    <w:rsid w:val="00A77534"/>
    <w:rsid w:val="00A8059C"/>
    <w:rsid w:val="00A80636"/>
    <w:rsid w:val="00A92395"/>
    <w:rsid w:val="00A92751"/>
    <w:rsid w:val="00AA5E75"/>
    <w:rsid w:val="00AB5999"/>
    <w:rsid w:val="00AC2266"/>
    <w:rsid w:val="00AE0C37"/>
    <w:rsid w:val="00AF0AAB"/>
    <w:rsid w:val="00AF3FF3"/>
    <w:rsid w:val="00B106DB"/>
    <w:rsid w:val="00B23CF9"/>
    <w:rsid w:val="00B261CF"/>
    <w:rsid w:val="00B262E4"/>
    <w:rsid w:val="00B442E7"/>
    <w:rsid w:val="00B5785A"/>
    <w:rsid w:val="00B70731"/>
    <w:rsid w:val="00B76E63"/>
    <w:rsid w:val="00B815A2"/>
    <w:rsid w:val="00B84232"/>
    <w:rsid w:val="00B939D2"/>
    <w:rsid w:val="00BD2CB3"/>
    <w:rsid w:val="00BE0746"/>
    <w:rsid w:val="00BF597E"/>
    <w:rsid w:val="00C16F5B"/>
    <w:rsid w:val="00C46C17"/>
    <w:rsid w:val="00C51A36"/>
    <w:rsid w:val="00C55228"/>
    <w:rsid w:val="00C63768"/>
    <w:rsid w:val="00C75377"/>
    <w:rsid w:val="00C755EA"/>
    <w:rsid w:val="00C811EB"/>
    <w:rsid w:val="00CD4782"/>
    <w:rsid w:val="00CE315A"/>
    <w:rsid w:val="00D06F59"/>
    <w:rsid w:val="00D0757A"/>
    <w:rsid w:val="00D6764A"/>
    <w:rsid w:val="00D8388C"/>
    <w:rsid w:val="00D85B91"/>
    <w:rsid w:val="00D91C21"/>
    <w:rsid w:val="00DC1F17"/>
    <w:rsid w:val="00DC3660"/>
    <w:rsid w:val="00E125FA"/>
    <w:rsid w:val="00E52091"/>
    <w:rsid w:val="00E6224C"/>
    <w:rsid w:val="00EB0164"/>
    <w:rsid w:val="00EB0E77"/>
    <w:rsid w:val="00ED0F62"/>
    <w:rsid w:val="00F14A90"/>
    <w:rsid w:val="00F7631D"/>
    <w:rsid w:val="00F90514"/>
    <w:rsid w:val="00F96F71"/>
    <w:rsid w:val="00FC7FE0"/>
    <w:rsid w:val="00FE08DF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86B7A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411EB6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6541EB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02FCE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175956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9C0194"/>
    <w:rsid w:val="4FC85308"/>
    <w:rsid w:val="503C3BCC"/>
    <w:rsid w:val="50C41CF1"/>
    <w:rsid w:val="51217DA6"/>
    <w:rsid w:val="51294703"/>
    <w:rsid w:val="51425A27"/>
    <w:rsid w:val="5158757E"/>
    <w:rsid w:val="51D1081B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327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972</Words>
  <Characters>5542</Characters>
  <Lines>46</Lines>
  <Paragraphs>13</Paragraphs>
  <TotalTime>0</TotalTime>
  <ScaleCrop>false</ScaleCrop>
  <LinksUpToDate>false</LinksUpToDate>
  <CharactersWithSpaces>6501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2020-06-02T13:12:00Z</dcterms:created>
  <dc:creator>微软用户</dc:creator>
  <cp:lastModifiedBy>张磊</cp:lastModifiedBy>
  <dcterms:modified xsi:type="dcterms:W3CDTF">2020-07-20T03:21:17Z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