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0349-2020-Q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烟台东林线束有限公司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val="0"/>
                <w:bCs/>
                <w:color w:val="000000"/>
                <w:sz w:val="20"/>
                <w:szCs w:val="20"/>
              </w:rPr>
            </w:pPr>
            <w:r>
              <w:rPr>
                <w:b w:val="0"/>
                <w:bCs/>
                <w:color w:val="000000"/>
                <w:sz w:val="20"/>
                <w:szCs w:val="20"/>
              </w:rPr>
              <w:t>吉洁</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4"/>
            <w:vAlign w:val="center"/>
          </w:tcPr>
          <w:p>
            <w:pPr>
              <w:spacing w:line="240" w:lineRule="exact"/>
              <w:jc w:val="center"/>
              <w:rPr>
                <w:b w:val="0"/>
                <w:bCs/>
                <w:color w:val="000000"/>
                <w:sz w:val="20"/>
                <w:szCs w:val="20"/>
              </w:rPr>
            </w:pPr>
            <w:r>
              <w:rPr>
                <w:rFonts w:hint="eastAsia"/>
                <w:b w:val="0"/>
                <w:bCs/>
                <w:color w:val="000000"/>
                <w:sz w:val="20"/>
                <w:szCs w:val="20"/>
              </w:rPr>
              <w:t>2019-N1QMS-3022240</w:t>
            </w:r>
          </w:p>
        </w:tc>
        <w:tc>
          <w:tcPr>
            <w:tcW w:w="2179" w:type="dxa"/>
            <w:gridSpan w:val="2"/>
            <w:vAlign w:val="center"/>
          </w:tcPr>
          <w:p>
            <w:pPr>
              <w:spacing w:line="240" w:lineRule="exact"/>
              <w:jc w:val="center"/>
              <w:rPr>
                <w:rFonts w:hint="eastAsia" w:eastAsia="宋体"/>
                <w:b w:val="0"/>
                <w:bCs/>
                <w:color w:val="000000"/>
                <w:sz w:val="20"/>
                <w:szCs w:val="20"/>
                <w:lang w:eastAsia="zh-CN"/>
              </w:rPr>
            </w:pPr>
            <w:r>
              <w:rPr>
                <w:rFonts w:hint="eastAsia"/>
                <w:b w:val="0"/>
                <w:bCs/>
                <w:color w:val="000000"/>
                <w:sz w:val="20"/>
                <w:szCs w:val="20"/>
                <w:lang w:eastAsia="zh-CN"/>
              </w:rPr>
              <w:t>19.11.02;29.12.00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w:t>
      </w:r>
      <w:r>
        <w:rPr>
          <w:rFonts w:hint="eastAsia" w:ascii="宋体" w:hAnsi="宋体"/>
          <w:b/>
          <w:color w:val="000000"/>
          <w:spacing w:val="-10"/>
          <w:sz w:val="20"/>
          <w:szCs w:val="20"/>
          <w:lang w:eastAsia="zh-CN"/>
        </w:rPr>
        <w:t>质量手册</w:t>
      </w:r>
      <w:r>
        <w:rPr>
          <w:rFonts w:hint="eastAsia" w:ascii="宋体" w:hAnsi="宋体"/>
          <w:b/>
          <w:color w:val="000000"/>
          <w:spacing w:val="-10"/>
          <w:sz w:val="20"/>
          <w:szCs w:val="20"/>
        </w:rPr>
        <w:t>第</w:t>
      </w:r>
      <w:r>
        <w:rPr>
          <w:rFonts w:hint="eastAsia" w:ascii="宋体" w:hAnsi="宋体"/>
          <w:b/>
          <w:color w:val="000000"/>
          <w:spacing w:val="-10"/>
          <w:sz w:val="20"/>
          <w:szCs w:val="20"/>
          <w:lang w:val="en-US" w:eastAsia="zh-CN"/>
        </w:rPr>
        <w:t>A/O</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367"/>
        <w:gridCol w:w="77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烟台东林线束有限公司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79" w:type="dxa"/>
            <w:gridSpan w:val="3"/>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山东省烟台市福山区双龙路69号</w:t>
            </w:r>
          </w:p>
        </w:tc>
        <w:tc>
          <w:tcPr>
            <w:tcW w:w="77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1" w:type="dxa"/>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265560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879" w:type="dxa"/>
            <w:gridSpan w:val="3"/>
            <w:vAlign w:val="center"/>
          </w:tcPr>
          <w:p>
            <w:pPr>
              <w:spacing w:line="280" w:lineRule="exact"/>
              <w:jc w:val="both"/>
              <w:rPr>
                <w:rFonts w:hint="eastAsia" w:ascii="宋体" w:eastAsia="宋体"/>
                <w:b/>
                <w:color w:val="000000"/>
                <w:sz w:val="20"/>
                <w:szCs w:val="20"/>
                <w:lang w:eastAsia="zh-CN"/>
              </w:rPr>
            </w:pPr>
            <w:bookmarkStart w:id="8" w:name="经营地址"/>
            <w:bookmarkEnd w:id="8"/>
            <w:r>
              <w:rPr>
                <w:rFonts w:hint="eastAsia" w:ascii="宋体"/>
                <w:b/>
                <w:color w:val="000000"/>
                <w:sz w:val="20"/>
                <w:szCs w:val="20"/>
                <w:lang w:eastAsia="zh-CN"/>
              </w:rPr>
              <w:t>山东省烟台市福山区双龙路69号</w:t>
            </w:r>
          </w:p>
        </w:tc>
        <w:tc>
          <w:tcPr>
            <w:tcW w:w="772" w:type="dxa"/>
            <w:vMerge w:val="continue"/>
            <w:vAlign w:val="center"/>
          </w:tcPr>
          <w:p>
            <w:pPr>
              <w:spacing w:line="280" w:lineRule="exact"/>
              <w:jc w:val="both"/>
              <w:rPr>
                <w:rFonts w:ascii="宋体"/>
                <w:b/>
                <w:color w:val="000000"/>
                <w:sz w:val="20"/>
                <w:szCs w:val="20"/>
              </w:rPr>
            </w:pPr>
          </w:p>
        </w:tc>
        <w:tc>
          <w:tcPr>
            <w:tcW w:w="1841" w:type="dxa"/>
            <w:vAlign w:val="center"/>
          </w:tcPr>
          <w:p>
            <w:pPr>
              <w:spacing w:line="280" w:lineRule="exact"/>
              <w:jc w:val="both"/>
              <w:rPr>
                <w:rFonts w:hint="eastAsia" w:ascii="宋体" w:eastAsia="宋体"/>
                <w:b/>
                <w:color w:val="000000"/>
                <w:sz w:val="20"/>
                <w:szCs w:val="20"/>
                <w:lang w:eastAsia="zh-CN"/>
              </w:rPr>
            </w:pPr>
            <w:bookmarkStart w:id="9" w:name="经营邮编"/>
            <w:bookmarkEnd w:id="9"/>
            <w:r>
              <w:rPr>
                <w:rFonts w:hint="eastAsia" w:ascii="宋体"/>
                <w:b/>
                <w:color w:val="000000"/>
                <w:sz w:val="20"/>
                <w:szCs w:val="20"/>
                <w:lang w:eastAsia="zh-CN"/>
              </w:rPr>
              <w:t>265560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879" w:type="dxa"/>
            <w:gridSpan w:val="3"/>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山东省烟台市福山区双龙路69号</w:t>
            </w:r>
          </w:p>
        </w:tc>
        <w:tc>
          <w:tcPr>
            <w:tcW w:w="772" w:type="dxa"/>
            <w:vMerge w:val="continue"/>
            <w:vAlign w:val="center"/>
          </w:tcPr>
          <w:p>
            <w:pPr>
              <w:spacing w:line="280" w:lineRule="exact"/>
              <w:jc w:val="both"/>
              <w:rPr>
                <w:rFonts w:ascii="宋体"/>
                <w:b/>
                <w:color w:val="000000"/>
                <w:sz w:val="20"/>
                <w:szCs w:val="20"/>
              </w:rPr>
            </w:pPr>
          </w:p>
        </w:tc>
        <w:tc>
          <w:tcPr>
            <w:tcW w:w="1841" w:type="dxa"/>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265560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eastAsia" w:ascii="宋体"/>
                <w:b/>
                <w:color w:val="000000"/>
                <w:sz w:val="20"/>
                <w:szCs w:val="20"/>
                <w:lang w:eastAsia="zh-CN"/>
              </w:rPr>
            </w:pPr>
            <w:r>
              <w:rPr>
                <w:rFonts w:hint="eastAsia" w:ascii="宋体"/>
                <w:b/>
                <w:color w:val="000000"/>
                <w:sz w:val="20"/>
                <w:szCs w:val="20"/>
                <w:lang w:eastAsia="zh-CN"/>
              </w:rPr>
              <w:t>鹿琪</w:t>
            </w:r>
          </w:p>
        </w:tc>
        <w:tc>
          <w:tcPr>
            <w:tcW w:w="1463" w:type="dxa"/>
            <w:vAlign w:val="center"/>
          </w:tcPr>
          <w:p>
            <w:pPr>
              <w:spacing w:line="280" w:lineRule="exact"/>
              <w:jc w:val="both"/>
              <w:rPr>
                <w:rFonts w:hint="eastAsia" w:ascii="宋体"/>
                <w:b/>
                <w:color w:val="000000"/>
                <w:sz w:val="20"/>
                <w:szCs w:val="20"/>
                <w:lang w:eastAsia="zh-CN"/>
              </w:rPr>
            </w:pPr>
            <w:r>
              <w:rPr>
                <w:rFonts w:hint="eastAsia" w:ascii="宋体"/>
                <w:b/>
                <w:color w:val="000000"/>
                <w:sz w:val="20"/>
                <w:szCs w:val="20"/>
                <w:lang w:eastAsia="zh-CN"/>
              </w:rPr>
              <w:t>电话</w:t>
            </w:r>
          </w:p>
        </w:tc>
        <w:tc>
          <w:tcPr>
            <w:tcW w:w="2367" w:type="dxa"/>
            <w:vAlign w:val="center"/>
          </w:tcPr>
          <w:p>
            <w:pPr>
              <w:spacing w:line="280" w:lineRule="exact"/>
              <w:jc w:val="both"/>
              <w:rPr>
                <w:rFonts w:hint="eastAsia" w:ascii="宋体"/>
                <w:b/>
                <w:color w:val="000000"/>
                <w:sz w:val="20"/>
                <w:szCs w:val="20"/>
                <w:lang w:eastAsia="zh-CN"/>
              </w:rPr>
            </w:pPr>
            <w:bookmarkStart w:id="10" w:name="联系人手机"/>
            <w:r>
              <w:rPr>
                <w:rFonts w:hint="eastAsia" w:ascii="宋体"/>
                <w:b/>
                <w:color w:val="000000"/>
                <w:sz w:val="20"/>
                <w:szCs w:val="20"/>
                <w:lang w:eastAsia="zh-CN"/>
              </w:rPr>
              <w:t>13864260931</w:t>
            </w:r>
            <w:bookmarkEnd w:id="10"/>
          </w:p>
        </w:tc>
        <w:tc>
          <w:tcPr>
            <w:tcW w:w="77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1"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spacing w:line="280" w:lineRule="exact"/>
              <w:jc w:val="both"/>
              <w:rPr>
                <w:rFonts w:hint="eastAsia" w:ascii="宋体"/>
                <w:b/>
                <w:color w:val="000000"/>
                <w:sz w:val="20"/>
                <w:szCs w:val="20"/>
                <w:lang w:eastAsia="zh-CN"/>
              </w:rPr>
            </w:pPr>
            <w:bookmarkStart w:id="12" w:name="法人"/>
            <w:r>
              <w:rPr>
                <w:rFonts w:hint="eastAsia" w:ascii="宋体"/>
                <w:b/>
                <w:color w:val="000000"/>
                <w:sz w:val="20"/>
                <w:szCs w:val="20"/>
                <w:lang w:eastAsia="zh-CN"/>
              </w:rPr>
              <w:t>孙莉</w:t>
            </w:r>
            <w:bookmarkEnd w:id="12"/>
          </w:p>
        </w:tc>
        <w:tc>
          <w:tcPr>
            <w:tcW w:w="1463" w:type="dxa"/>
            <w:vAlign w:val="center"/>
          </w:tcPr>
          <w:p>
            <w:pPr>
              <w:spacing w:line="280" w:lineRule="exact"/>
              <w:jc w:val="both"/>
              <w:rPr>
                <w:rFonts w:hint="eastAsia" w:ascii="宋体"/>
                <w:b/>
                <w:color w:val="000000"/>
                <w:sz w:val="20"/>
                <w:szCs w:val="20"/>
                <w:lang w:eastAsia="zh-CN"/>
              </w:rPr>
            </w:pPr>
            <w:r>
              <w:rPr>
                <w:rFonts w:hint="eastAsia" w:ascii="宋体"/>
                <w:b/>
                <w:color w:val="000000"/>
                <w:sz w:val="20"/>
                <w:szCs w:val="20"/>
                <w:lang w:eastAsia="zh-CN"/>
              </w:rPr>
              <w:t>管理者代表</w:t>
            </w:r>
          </w:p>
        </w:tc>
        <w:tc>
          <w:tcPr>
            <w:tcW w:w="2367" w:type="dxa"/>
            <w:vAlign w:val="center"/>
          </w:tcPr>
          <w:p>
            <w:pPr>
              <w:spacing w:line="280" w:lineRule="exact"/>
              <w:jc w:val="both"/>
              <w:rPr>
                <w:rFonts w:hint="eastAsia" w:ascii="宋体"/>
                <w:b/>
                <w:color w:val="000000"/>
                <w:sz w:val="20"/>
                <w:szCs w:val="20"/>
                <w:lang w:eastAsia="zh-CN"/>
              </w:rPr>
            </w:pPr>
            <w:r>
              <w:rPr>
                <w:rFonts w:hint="eastAsia" w:ascii="宋体"/>
                <w:b/>
                <w:color w:val="000000"/>
                <w:sz w:val="20"/>
                <w:szCs w:val="20"/>
                <w:lang w:eastAsia="zh-CN"/>
              </w:rPr>
              <w:t>刘峰</w:t>
            </w:r>
          </w:p>
        </w:tc>
        <w:tc>
          <w:tcPr>
            <w:tcW w:w="772" w:type="dxa"/>
          </w:tcPr>
          <w:p>
            <w:pPr>
              <w:jc w:val="center"/>
              <w:rPr>
                <w:rFonts w:ascii="宋体"/>
                <w:b/>
                <w:color w:val="000000"/>
                <w:sz w:val="20"/>
                <w:szCs w:val="20"/>
              </w:rPr>
            </w:pPr>
            <w:r>
              <w:rPr>
                <w:rFonts w:hint="eastAsia" w:ascii="宋体"/>
                <w:b/>
                <w:color w:val="000000"/>
                <w:sz w:val="20"/>
                <w:szCs w:val="20"/>
              </w:rPr>
              <w:t>邮箱</w:t>
            </w:r>
          </w:p>
        </w:tc>
        <w:tc>
          <w:tcPr>
            <w:tcW w:w="1841"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3" w:name="审核范围"/>
            <w:r>
              <w:rPr>
                <w:rFonts w:hint="eastAsia" w:ascii="宋体" w:hAnsi="宋体"/>
                <w:szCs w:val="21"/>
              </w:rPr>
              <w:t>线束生产 ，电子配件、通用设备（点胶机、螺钉机）销售</w:t>
            </w:r>
            <w:r>
              <w:rPr>
                <w:rFonts w:ascii="宋体" w:hAnsi="宋体"/>
                <w:b/>
                <w:color w:val="000000"/>
                <w:sz w:val="20"/>
                <w:szCs w:val="20"/>
              </w:rPr>
              <w:t>。</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4" w:name="专业代码"/>
            <w:r>
              <w:rPr>
                <w:rFonts w:hint="eastAsia"/>
                <w:b/>
                <w:szCs w:val="21"/>
              </w:rPr>
              <w:t>19.11.02;29.12.00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质量手册》、《程序文件》等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3.</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sz w:val="21"/>
          <w:szCs w:val="21"/>
          <w:lang w:val="en-US" w:eastAsia="zh-CN"/>
        </w:rPr>
        <w:t>综合管理部/生产技术部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ascii="宋体"/>
                <w:b/>
                <w:color w:val="000000"/>
                <w:sz w:val="20"/>
                <w:szCs w:val="20"/>
              </w:rPr>
            </w:pPr>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管理层/综合管理部/</w:t>
            </w:r>
            <w:r>
              <w:rPr>
                <w:rFonts w:hint="eastAsia"/>
                <w:sz w:val="21"/>
                <w:szCs w:val="21"/>
                <w:lang w:val="en-US" w:eastAsia="zh-CN"/>
              </w:rPr>
              <w:t>生产技术部/品保部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管理层</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sz w:val="21"/>
                <w:szCs w:val="21"/>
                <w:lang w:val="en-US" w:eastAsia="zh-CN"/>
              </w:rPr>
              <w:t>品保部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Theme="minorEastAsia" w:hAnsiTheme="minorEastAsia" w:eastAsiaTheme="minorEastAsia"/>
                <w:b w:val="0"/>
                <w:bCs w:val="0"/>
                <w:sz w:val="21"/>
                <w:szCs w:val="21"/>
                <w:lang w:eastAsia="zh-CN"/>
              </w:rPr>
              <w:t>山东省烟台市福山区双龙路69号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r>
              <w:rPr>
                <w:rFonts w:hint="eastAsia" w:ascii="宋体" w:hAnsi="宋体"/>
                <w:b/>
                <w:color w:val="000000"/>
                <w:sz w:val="20"/>
                <w:szCs w:val="20"/>
                <w:lang w:eastAsia="zh-CN"/>
              </w:rPr>
              <w:t>（</w:t>
            </w:r>
            <w:r>
              <w:rPr>
                <w:rFonts w:hint="eastAsia" w:ascii="宋体" w:hAnsi="宋体"/>
                <w:b/>
                <w:color w:val="000000"/>
                <w:sz w:val="20"/>
                <w:szCs w:val="20"/>
                <w:lang w:val="en-US" w:eastAsia="zh-CN"/>
              </w:rPr>
              <w:t>通过手机位置共享及视频方式获知</w:t>
            </w:r>
            <w:r>
              <w:rPr>
                <w:rFonts w:hint="eastAsia" w:ascii="宋体" w:hAnsi="宋体"/>
                <w:b/>
                <w:color w:val="000000"/>
                <w:sz w:val="20"/>
                <w:szCs w:val="20"/>
                <w:lang w:eastAsia="zh-CN"/>
              </w:rPr>
              <w:t>）</w:t>
            </w:r>
            <w:r>
              <w:rPr>
                <w:rFonts w:hint="eastAsia" w:ascii="宋体" w:hAnsi="宋体"/>
                <w:b/>
                <w:color w:val="000000"/>
                <w:sz w:val="20"/>
                <w:szCs w:val="20"/>
              </w:rPr>
              <w:t>：</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b w:val="0"/>
                <w:bCs w:val="0"/>
                <w:sz w:val="21"/>
                <w:szCs w:val="21"/>
                <w:lang w:eastAsia="zh-CN"/>
              </w:rPr>
              <w:t>山东省烟台市福山区双龙路69号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r>
              <w:rPr>
                <w:rFonts w:hint="eastAsia" w:ascii="宋体" w:hAnsi="宋体"/>
                <w:b/>
                <w:color w:val="000000"/>
                <w:sz w:val="20"/>
                <w:szCs w:val="20"/>
                <w:lang w:eastAsia="zh-CN"/>
              </w:rPr>
              <w:t>（</w:t>
            </w:r>
            <w:r>
              <w:rPr>
                <w:rFonts w:hint="eastAsia" w:ascii="宋体" w:hAnsi="宋体"/>
                <w:b/>
                <w:color w:val="000000"/>
                <w:sz w:val="20"/>
                <w:szCs w:val="20"/>
              </w:rPr>
              <w:t>通过</w:t>
            </w:r>
            <w:r>
              <w:rPr>
                <w:rFonts w:hint="eastAsia" w:ascii="宋体" w:hAnsi="宋体"/>
                <w:b/>
                <w:color w:val="000000"/>
                <w:sz w:val="20"/>
                <w:szCs w:val="20"/>
                <w:lang w:val="en-US" w:eastAsia="zh-CN"/>
              </w:rPr>
              <w:t>视频/电话/文件传输方式</w:t>
            </w:r>
            <w:r>
              <w:rPr>
                <w:rFonts w:hint="eastAsia" w:ascii="宋体" w:hAnsi="宋体"/>
                <w:b/>
                <w:color w:val="000000"/>
                <w:sz w:val="20"/>
                <w:szCs w:val="20"/>
              </w:rPr>
              <w:t>与主要管理者交流</w:t>
            </w:r>
            <w:r>
              <w:rPr>
                <w:rFonts w:hint="eastAsia" w:ascii="宋体" w:hAnsi="宋体"/>
                <w:b/>
                <w:color w:val="000000"/>
                <w:sz w:val="20"/>
                <w:szCs w:val="20"/>
                <w:lang w:eastAsia="zh-CN"/>
              </w:rPr>
              <w:t>）</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如不一致，请简述不一致情况：</w:t>
            </w:r>
          </w:p>
          <w:p>
            <w:pPr>
              <w:rPr>
                <w:rFonts w:hint="eastAsia" w:ascii="宋体"/>
                <w:color w:val="000000"/>
                <w:sz w:val="20"/>
                <w:szCs w:val="20"/>
              </w:rPr>
            </w:pPr>
            <w:r>
              <w:rPr>
                <w:rFonts w:hint="eastAsia"/>
                <w:b w:val="0"/>
                <w:bCs w:val="0"/>
                <w:sz w:val="21"/>
                <w:szCs w:val="21"/>
                <w:lang w:val="en-US" w:eastAsia="zh-CN"/>
              </w:rPr>
              <w:t>由</w:t>
            </w:r>
            <w:r>
              <w:rPr>
                <w:rFonts w:hint="eastAsia" w:ascii="宋体" w:hAnsi="宋体"/>
                <w:szCs w:val="21"/>
              </w:rPr>
              <w:t>线束生产，电子配件、通用设备（点胶机、螺钉机）销售</w:t>
            </w:r>
            <w:r>
              <w:rPr>
                <w:rFonts w:hint="eastAsia"/>
                <w:b w:val="0"/>
                <w:bCs w:val="0"/>
                <w:sz w:val="21"/>
                <w:szCs w:val="21"/>
                <w:lang w:val="en-US" w:eastAsia="zh-CN"/>
              </w:rPr>
              <w:t>变更为</w:t>
            </w:r>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产品技术标准号：QCT 29106-2014汽车电线束□合同：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hint="eastAsia" w:ascii="宋体" w:hAnsi="宋体"/>
                <w:color w:val="000000"/>
                <w:sz w:val="20"/>
                <w:szCs w:val="20"/>
              </w:rPr>
            </w:pPr>
            <w:r>
              <w:rPr>
                <w:rFonts w:hint="eastAsia" w:ascii="宋体" w:hAnsi="宋体"/>
                <w:color w:val="000000"/>
                <w:sz w:val="20"/>
                <w:szCs w:val="20"/>
              </w:rPr>
              <w:t>受审核方环境管理体系认证范围内的合规性证据</w:t>
            </w:r>
          </w:p>
          <w:p>
            <w:pPr>
              <w:ind w:left="-1" w:leftChars="-1" w:hanging="1"/>
              <w:jc w:val="left"/>
              <w:rPr>
                <w:rFonts w:hint="eastAsia" w:ascii="宋体" w:hAnsi="宋体"/>
                <w:color w:val="000000"/>
                <w:sz w:val="20"/>
                <w:szCs w:val="20"/>
              </w:rPr>
            </w:pPr>
            <w:r>
              <w:rPr>
                <w:rFonts w:hint="eastAsia" w:ascii="宋体" w:hAnsi="宋体"/>
                <w:color w:val="000000"/>
                <w:spacing w:val="-10"/>
                <w:sz w:val="20"/>
                <w:szCs w:val="20"/>
              </w:rPr>
              <w:t>（</w:t>
            </w:r>
            <w:r>
              <w:rPr>
                <w:rFonts w:hint="eastAsia" w:ascii="宋体" w:hAnsi="宋体"/>
                <w:color w:val="000000"/>
                <w:spacing w:val="-10"/>
                <w:sz w:val="20"/>
                <w:szCs w:val="20"/>
                <w:lang w:val="en-US" w:eastAsia="zh-CN"/>
              </w:rPr>
              <w:t>E</w:t>
            </w:r>
            <w:r>
              <w:rPr>
                <w:rFonts w:ascii="宋体" w:hAnsi="宋体"/>
                <w:color w:val="000000"/>
                <w:spacing w:val="-10"/>
                <w:sz w:val="20"/>
                <w:szCs w:val="20"/>
              </w:rPr>
              <w:t>MS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hint="eastAsia" w:ascii="宋体" w:hAnsi="宋体"/>
                <w:color w:val="000000"/>
                <w:sz w:val="20"/>
                <w:szCs w:val="20"/>
              </w:rPr>
            </w:pPr>
            <w:r>
              <w:rPr>
                <w:rFonts w:hint="eastAsia" w:ascii="宋体" w:hAnsi="宋体"/>
                <w:color w:val="000000"/>
                <w:sz w:val="20"/>
                <w:szCs w:val="20"/>
              </w:rPr>
              <w:t>受审核方职业健康安全管理体系认证范围内的合规性证据</w:t>
            </w:r>
          </w:p>
          <w:p>
            <w:pPr>
              <w:ind w:left="-1" w:leftChars="-1" w:hanging="1"/>
              <w:jc w:val="left"/>
              <w:rPr>
                <w:rFonts w:hint="eastAsia" w:ascii="宋体" w:hAnsi="宋体"/>
                <w:color w:val="000000"/>
                <w:sz w:val="20"/>
                <w:szCs w:val="20"/>
              </w:rPr>
            </w:pPr>
            <w:r>
              <w:rPr>
                <w:rFonts w:hint="eastAsia" w:ascii="宋体" w:hAnsi="宋体"/>
                <w:color w:val="000000"/>
                <w:spacing w:val="-10"/>
                <w:sz w:val="20"/>
                <w:szCs w:val="20"/>
              </w:rPr>
              <w:t>（</w:t>
            </w:r>
            <w:r>
              <w:rPr>
                <w:rFonts w:hint="eastAsia" w:ascii="宋体" w:hAnsi="宋体"/>
                <w:color w:val="000000"/>
                <w:spacing w:val="-10"/>
                <w:sz w:val="20"/>
                <w:szCs w:val="20"/>
                <w:lang w:val="en-US" w:eastAsia="zh-CN"/>
              </w:rPr>
              <w:t>OHS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 w:val="21"/>
                <w:szCs w:val="21"/>
              </w:rPr>
            </w:pPr>
            <w:r>
              <w:rPr>
                <w:rFonts w:hint="eastAsia"/>
                <w:sz w:val="21"/>
                <w:szCs w:val="21"/>
                <w:lang w:val="en-US" w:eastAsia="zh-CN"/>
              </w:rPr>
              <w:t>生产：原材料-</w:t>
            </w:r>
            <w:r>
              <w:rPr>
                <w:rFonts w:hint="eastAsia" w:ascii="Times New Roman" w:hAnsi="Times New Roman" w:cs="Times New Roman"/>
                <w:sz w:val="21"/>
                <w:szCs w:val="21"/>
                <w:lang w:val="en-US" w:eastAsia="zh-CN"/>
              </w:rPr>
              <w:t>裁切-压接-总装-检验</w:t>
            </w:r>
          </w:p>
          <w:p>
            <w:pPr>
              <w:rPr>
                <w:rFonts w:hint="eastAsia" w:eastAsia="宋体"/>
                <w:sz w:val="21"/>
                <w:szCs w:val="21"/>
                <w:lang w:val="en-US" w:eastAsia="zh-CN"/>
              </w:rPr>
            </w:pPr>
            <w:r>
              <w:rPr>
                <w:rFonts w:hint="eastAsia"/>
                <w:sz w:val="21"/>
                <w:szCs w:val="21"/>
                <w:lang w:val="en-US" w:eastAsia="zh-CN"/>
              </w:rPr>
              <w:t>销售：业务洽谈</w:t>
            </w:r>
            <w:r>
              <w:rPr>
                <w:rFonts w:hint="eastAsia"/>
                <w:sz w:val="21"/>
                <w:szCs w:val="21"/>
              </w:rPr>
              <w:t>—合同评审—合同签订—产品采购—产品验证—交付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压接、业务洽谈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sz w:val="21"/>
                <w:szCs w:val="21"/>
              </w:rPr>
              <w:t>《生产和服务提供控制程序》《销售服务规范》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压接、销售服务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主要设备：双头全自动端子机</w:t>
            </w:r>
            <w:r>
              <w:rPr>
                <w:rFonts w:hint="eastAsia" w:ascii="宋体" w:hAnsi="宋体"/>
                <w:color w:val="000000"/>
                <w:spacing w:val="-10"/>
                <w:sz w:val="20"/>
                <w:szCs w:val="20"/>
                <w:lang w:eastAsia="zh-CN"/>
              </w:rPr>
              <w:t>、</w:t>
            </w:r>
            <w:r>
              <w:rPr>
                <w:rFonts w:hint="eastAsia" w:ascii="宋体" w:hAnsi="宋体"/>
                <w:color w:val="000000"/>
                <w:spacing w:val="-10"/>
                <w:sz w:val="20"/>
                <w:szCs w:val="20"/>
              </w:rPr>
              <w:t>超静音压接机</w:t>
            </w:r>
            <w:r>
              <w:rPr>
                <w:rFonts w:hint="eastAsia" w:ascii="宋体" w:hAnsi="宋体"/>
                <w:color w:val="000000"/>
                <w:spacing w:val="-10"/>
                <w:sz w:val="20"/>
                <w:szCs w:val="20"/>
                <w:lang w:eastAsia="zh-CN"/>
              </w:rPr>
              <w:t>、</w:t>
            </w:r>
            <w:r>
              <w:rPr>
                <w:rFonts w:hint="eastAsia" w:ascii="宋体" w:hAnsi="宋体"/>
                <w:color w:val="000000"/>
                <w:spacing w:val="-10"/>
                <w:sz w:val="20"/>
                <w:szCs w:val="20"/>
              </w:rPr>
              <w:t>自动剥线机</w:t>
            </w:r>
            <w:r>
              <w:rPr>
                <w:rFonts w:hint="eastAsia" w:ascii="宋体" w:hAnsi="宋体"/>
                <w:color w:val="000000"/>
                <w:spacing w:val="-10"/>
                <w:sz w:val="20"/>
                <w:szCs w:val="20"/>
                <w:lang w:eastAsia="zh-CN"/>
              </w:rPr>
              <w:t>、</w:t>
            </w:r>
            <w:r>
              <w:rPr>
                <w:rFonts w:hint="eastAsia" w:ascii="宋体" w:hAnsi="宋体"/>
                <w:color w:val="000000"/>
                <w:spacing w:val="-10"/>
                <w:sz w:val="20"/>
                <w:szCs w:val="20"/>
              </w:rPr>
              <w:t>剥皮机</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办公设备、汽车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000000"/>
                <w:sz w:val="20"/>
                <w:szCs w:val="20"/>
                <w:lang w:val="en-US"/>
              </w:rPr>
            </w:pPr>
            <w:r>
              <w:rPr>
                <w:rFonts w:hint="eastAsia" w:ascii="宋体"/>
                <w:color w:val="000000"/>
                <w:sz w:val="20"/>
                <w:szCs w:val="20"/>
              </w:rPr>
              <w:t>监视和测量设备（请简述主要监视和测量设备）：</w:t>
            </w:r>
            <w:bookmarkStart w:id="15" w:name="_GoBack"/>
            <w:r>
              <w:rPr>
                <w:rFonts w:hint="eastAsia"/>
                <w:sz w:val="21"/>
                <w:szCs w:val="21"/>
                <w:lang w:val="en-US" w:eastAsia="zh-CN"/>
              </w:rPr>
              <w:t>数显推拉力计、数显卡尺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rPr>
              <w:t>公司车间占地面积近</w:t>
            </w:r>
            <w:r>
              <w:rPr>
                <w:rFonts w:hint="eastAsia"/>
                <w:sz w:val="21"/>
                <w:szCs w:val="21"/>
                <w:lang w:val="en-US" w:eastAsia="zh-CN"/>
              </w:rPr>
              <w:t>600</w:t>
            </w:r>
            <w:r>
              <w:rPr>
                <w:rFonts w:hint="eastAsia"/>
                <w:sz w:val="21"/>
                <w:szCs w:val="21"/>
              </w:rPr>
              <w:t>平米，</w:t>
            </w:r>
            <w:r>
              <w:rPr>
                <w:rFonts w:hint="eastAsia"/>
                <w:sz w:val="21"/>
                <w:szCs w:val="21"/>
                <w:lang w:val="en-US" w:eastAsia="zh-CN"/>
              </w:rPr>
              <w:t>1</w:t>
            </w:r>
            <w:r>
              <w:rPr>
                <w:rFonts w:hint="eastAsia"/>
                <w:sz w:val="21"/>
                <w:szCs w:val="21"/>
              </w:rPr>
              <w:t>个车间。车间宽敞明亮，干净整洁，通道畅通。车间内各种规格、型号产品摆放整齐，工序间工位器具设置较合理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hint="eastAsia" w:ascii="宋体" w:hAnsi="宋体" w:eastAsia="宋体" w:cs="Times New Roman"/>
          <w:b/>
          <w:color w:val="000000"/>
          <w:spacing w:val="-2"/>
          <w:kern w:val="2"/>
          <w:sz w:val="26"/>
          <w:szCs w:val="26"/>
          <w:lang w:val="en-US" w:eastAsia="zh-CN" w:bidi="ar-SA"/>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sz w:val="21"/>
                <w:szCs w:val="21"/>
                <w:lang w:val="en-US" w:eastAsia="zh-CN"/>
              </w:rPr>
              <w:t>综合管理部/生产技术部/品保部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1864360</wp:posOffset>
            </wp:positionH>
            <wp:positionV relativeFrom="paragraph">
              <wp:posOffset>148590</wp:posOffset>
            </wp:positionV>
            <wp:extent cx="1008380" cy="4857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08380" cy="48577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6432" behindDoc="0" locked="0" layoutInCell="1" allowOverlap="1">
            <wp:simplePos x="0" y="0"/>
            <wp:positionH relativeFrom="column">
              <wp:posOffset>1887855</wp:posOffset>
            </wp:positionH>
            <wp:positionV relativeFrom="paragraph">
              <wp:posOffset>191135</wp:posOffset>
            </wp:positionV>
            <wp:extent cx="729615" cy="342900"/>
            <wp:effectExtent l="0" t="0" r="6985" b="0"/>
            <wp:wrapNone/>
            <wp:docPr id="6"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C:\Users\Administrator\Desktop\名字\夏楠楠.png"/>
                    <pic:cNvPicPr>
                      <a:picLocks noChangeAspect="1"/>
                    </pic:cNvPicPr>
                  </pic:nvPicPr>
                  <pic:blipFill>
                    <a:blip r:embed="rId7"/>
                    <a:srcRect l="10294" t="26176" r="23531" b="30283"/>
                    <a:stretch>
                      <a:fillRect/>
                    </a:stretch>
                  </pic:blipFill>
                  <pic:spPr>
                    <a:xfrm>
                      <a:off x="0" y="0"/>
                      <a:ext cx="729615" cy="342900"/>
                    </a:xfrm>
                    <a:prstGeom prst="rect">
                      <a:avLst/>
                    </a:prstGeom>
                    <a:noFill/>
                    <a:ln>
                      <a:noFill/>
                    </a:ln>
                  </pic:spPr>
                </pic:pic>
              </a:graphicData>
            </a:graphic>
          </wp:anchor>
        </w:drawing>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675"/>
        <w:gridCol w:w="269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675"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694"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r>
              <w:rPr>
                <w:sz w:val="21"/>
              </w:rPr>
              <w:pict>
                <v:line id="_x0000_s1026" o:spid="_x0000_s1026" o:spt="20" style="position:absolute;left:0pt;flip:y;margin-left:13.3pt;margin-top:34.75pt;height:224.2pt;width:452.9pt;z-index:251667456;mso-width-relative:page;mso-height-relative:page;" fillcolor="#FFFFFF" filled="t" stroked="t" coordsize="21600,21600">
                  <v:path arrowok="t"/>
                  <v:fill on="t" color2="#FFFFFF" focussize="0,0"/>
                  <v:stroke color="#000000"/>
                  <v:imagedata o:title=""/>
                  <o:lock v:ext="edit" aspectratio="f"/>
                </v:line>
              </w:pict>
            </w:r>
          </w:p>
        </w:tc>
        <w:tc>
          <w:tcPr>
            <w:tcW w:w="4675"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color w:val="000000"/>
                <w:sz w:val="21"/>
                <w:szCs w:val="21"/>
                <w:lang w:val="en-US" w:eastAsia="zh-CN"/>
              </w:rPr>
            </w:pPr>
          </w:p>
        </w:tc>
        <w:tc>
          <w:tcPr>
            <w:tcW w:w="2694"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p>
        </w:tc>
        <w:tc>
          <w:tcPr>
            <w:tcW w:w="1811" w:type="dxa"/>
            <w:vAlign w:val="center"/>
          </w:tcPr>
          <w:p>
            <w:pPr>
              <w:pStyle w:val="4"/>
              <w:pBdr>
                <w:bottom w:val="none" w:color="auto" w:sz="0" w:space="0"/>
              </w:pBdr>
              <w:ind w:right="600"/>
              <w:jc w:val="both"/>
              <w:rPr>
                <w:rFonts w:hint="default" w:ascii="Times New Roman" w:hAnsi="Times New Roman" w:cs="Times New Roman"/>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p>
        </w:tc>
        <w:tc>
          <w:tcPr>
            <w:tcW w:w="4675"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color w:val="000000"/>
                <w:sz w:val="21"/>
                <w:szCs w:val="21"/>
                <w:lang w:val="en-US" w:eastAsia="zh-CN"/>
              </w:rPr>
            </w:pPr>
          </w:p>
        </w:tc>
        <w:tc>
          <w:tcPr>
            <w:tcW w:w="2694"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p>
        </w:tc>
        <w:tc>
          <w:tcPr>
            <w:tcW w:w="1811"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675" w:type="dxa"/>
            <w:vAlign w:val="center"/>
          </w:tcPr>
          <w:p>
            <w:pPr>
              <w:pStyle w:val="4"/>
              <w:pBdr>
                <w:bottom w:val="none" w:color="auto" w:sz="0" w:space="0"/>
              </w:pBdr>
              <w:tabs>
                <w:tab w:val="center" w:pos="5737"/>
                <w:tab w:val="clear" w:pos="4153"/>
              </w:tabs>
              <w:jc w:val="both"/>
              <w:rPr>
                <w:color w:val="000000"/>
                <w:sz w:val="24"/>
                <w:szCs w:val="24"/>
              </w:rPr>
            </w:pPr>
          </w:p>
        </w:tc>
        <w:tc>
          <w:tcPr>
            <w:tcW w:w="26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675" w:type="dxa"/>
            <w:vAlign w:val="center"/>
          </w:tcPr>
          <w:p>
            <w:pPr>
              <w:pStyle w:val="4"/>
              <w:pBdr>
                <w:bottom w:val="none" w:color="auto" w:sz="0" w:space="0"/>
              </w:pBdr>
              <w:tabs>
                <w:tab w:val="center" w:pos="5737"/>
                <w:tab w:val="clear" w:pos="4153"/>
              </w:tabs>
              <w:jc w:val="both"/>
              <w:rPr>
                <w:color w:val="000000"/>
                <w:sz w:val="24"/>
                <w:szCs w:val="24"/>
              </w:rPr>
            </w:pPr>
          </w:p>
        </w:tc>
        <w:tc>
          <w:tcPr>
            <w:tcW w:w="26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二阶段审核前</w:t>
            </w:r>
            <w:r>
              <w:rPr>
                <w:rFonts w:hint="eastAsia"/>
                <w:b/>
                <w:color w:val="000000"/>
                <w:szCs w:val="21"/>
              </w:rPr>
              <w:t>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b/>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C4331"/>
    <w:rsid w:val="239A2BF0"/>
    <w:rsid w:val="369C539E"/>
    <w:rsid w:val="68376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5978</Words>
  <Characters>6370</Characters>
  <Lines>48</Lines>
  <Paragraphs>13</Paragraphs>
  <TotalTime>1</TotalTime>
  <ScaleCrop>false</ScaleCrop>
  <LinksUpToDate>false</LinksUpToDate>
  <CharactersWithSpaces>6558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2020-07-29T03:34:09Z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