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26"/>
        <w:gridCol w:w="316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烟台盈德精密机械有限公司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烟台市福山区福桃路2808号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吕志培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13054582326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吕志培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0171-2019-O-2020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尿素喷射装置的设计、销售及相关职业健康安全管理活动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29.10.07;34.05.00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2020年07月19日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521970</wp:posOffset>
                  </wp:positionV>
                  <wp:extent cx="1000760" cy="4819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2020.7.17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2020.7.19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政府主管部门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；绩效的测量和监视；</w:t>
            </w:r>
            <w:r>
              <w:rPr>
                <w:rFonts w:hint="eastAsia"/>
                <w:sz w:val="21"/>
                <w:szCs w:val="21"/>
              </w:rPr>
              <w:t>管理评审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4.1/4.2/4.3.3/4.4.1/4.5.1/4.6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质技部：</w:t>
            </w:r>
            <w:bookmarkStart w:id="18" w:name="_GoBack"/>
            <w:r>
              <w:rPr>
                <w:rFonts w:hint="default" w:ascii="Times New Roman" w:hAnsi="Times New Roman" w:cs="Times New Roman"/>
                <w:sz w:val="21"/>
                <w:szCs w:val="21"/>
              </w:rPr>
              <w:t>资源作用职责责任权限</w:t>
            </w:r>
            <w:bookmarkEnd w:id="18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危险源识别评价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法律法规要求；运行控制；应急准备和响应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绩效的监视和测量；合规性评价；事件、不合格及纠正和预防措施控制；内部审核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4.3.1/4.3.2/</w:t>
            </w:r>
            <w:r>
              <w:rPr>
                <w:rFonts w:hint="eastAsia"/>
                <w:sz w:val="21"/>
                <w:szCs w:val="21"/>
              </w:rPr>
              <w:t>4.3.3/4.4.6/4.4.7/4.5.1/4.5.2/4.5.3/4.5.5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资源作用职责责任权限；目标；危险源辨识、风险评价和控制措施的确定；运行控制；应急准备和响应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4.4.1/4.3.3/4.3.1/4.4.6/4.4.7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A72BA"/>
    <w:rsid w:val="4FF41638"/>
    <w:rsid w:val="5D037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2020-07-22T09:19:02Z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