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0036-2018-QEO-2020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金亿中天科技开发有限公司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FF0000"/>
          <w:sz w:val="22"/>
          <w:szCs w:val="22"/>
        </w:rPr>
        <w:t>Jinyi Zhongtian Technology Development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r>
        <w:rPr>
          <w:rFonts w:hint="eastAsia"/>
          <w:b/>
          <w:color w:val="000000" w:themeColor="text1"/>
          <w:sz w:val="22"/>
          <w:szCs w:val="22"/>
          <w:u w:val="single"/>
        </w:rPr>
        <w:t>建湖县高作镇建宝北路212</w:t>
      </w:r>
      <w:r>
        <w:rPr>
          <w:rFonts w:hint="eastAsia"/>
          <w:b/>
          <w:color w:val="000000" w:themeColor="text1"/>
          <w:sz w:val="22"/>
          <w:szCs w:val="22"/>
          <w:u w:val="single"/>
          <w:lang w:val="en-US" w:eastAsia="zh-CN"/>
        </w:rPr>
        <w:t xml:space="preserve"> </w:t>
      </w:r>
      <w:r>
        <w:rPr>
          <w:rFonts w:hint="eastAsia" w:ascii="宋体" w:hAnsi="宋体"/>
          <w:szCs w:val="21"/>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r>
        <w:rPr>
          <w:rFonts w:hint="eastAsia" w:ascii="宋体" w:hAnsi="宋体"/>
          <w:b/>
          <w:color w:val="000000" w:themeColor="text1"/>
          <w:sz w:val="22"/>
          <w:szCs w:val="22"/>
          <w:u w:val="single"/>
        </w:rPr>
        <w:t xml:space="preserve"> 224700 </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FF0000"/>
          <w:sz w:val="22"/>
          <w:szCs w:val="22"/>
        </w:rPr>
        <w:t>212 Jianbao North Road, gaozuo Town, Jianhu County</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r>
        <w:rPr>
          <w:rFonts w:hint="eastAsia"/>
          <w:b/>
          <w:color w:val="000000" w:themeColor="text1"/>
          <w:sz w:val="22"/>
          <w:szCs w:val="22"/>
          <w:u w:val="single"/>
        </w:rPr>
        <w:t xml:space="preserve">大庆市龙凤区向阳村 </w:t>
      </w:r>
      <w:r>
        <w:rPr>
          <w:rFonts w:hint="eastAsia"/>
          <w:b/>
          <w:color w:val="000000" w:themeColor="text1"/>
          <w:sz w:val="22"/>
          <w:szCs w:val="22"/>
          <w:u w:val="single"/>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3" w:name="办公邮编"/>
      <w:r>
        <w:rPr>
          <w:b/>
          <w:color w:val="000000" w:themeColor="text1"/>
          <w:sz w:val="22"/>
          <w:szCs w:val="22"/>
          <w:u w:val="single"/>
        </w:rPr>
        <w:t>163000</w:t>
      </w:r>
      <w:bookmarkEnd w:id="3"/>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r>
        <w:rPr>
          <w:rFonts w:hint="eastAsia"/>
          <w:b/>
          <w:color w:val="FF0000"/>
          <w:sz w:val="22"/>
          <w:szCs w:val="22"/>
        </w:rPr>
        <w:t>Xiangyang Village, Longfeng District, Daqing City</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u w:val="single"/>
        </w:rPr>
        <w:t xml:space="preserve">大庆市龙凤区向阳村 </w:t>
      </w:r>
      <w:r>
        <w:rPr>
          <w:rFonts w:hint="eastAsia"/>
          <w:b/>
          <w:color w:val="000000" w:themeColor="text1"/>
          <w:sz w:val="22"/>
          <w:szCs w:val="22"/>
          <w:u w:val="single"/>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办公邮编Add"/>
      <w:r>
        <w:rPr>
          <w:b/>
          <w:color w:val="000000" w:themeColor="text1"/>
          <w:sz w:val="22"/>
          <w:szCs w:val="22"/>
        </w:rPr>
        <w:t>163000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b/>
          <w:color w:val="FF0000"/>
          <w:sz w:val="22"/>
          <w:szCs w:val="22"/>
        </w:rPr>
        <w:t>Xiangyang Village, Longfeng District, Daqing City</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91231223MA18XQKD0K</w:t>
      </w:r>
      <w:bookmarkEnd w:id="5"/>
      <w:r>
        <w:rPr>
          <w:rFonts w:hint="eastAsia"/>
          <w:b/>
          <w:color w:val="000000" w:themeColor="text1"/>
          <w:sz w:val="22"/>
          <w:szCs w:val="22"/>
        </w:rPr>
        <w:t>传真：</w:t>
      </w:r>
      <w:bookmarkStart w:id="6" w:name="联系人传真"/>
      <w:bookmarkEnd w:id="6"/>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18104663111</w:t>
      </w:r>
      <w:bookmarkEnd w:id="7"/>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8" w:name="管理者代表"/>
      <w:r>
        <w:rPr>
          <w:rFonts w:hint="eastAsia"/>
          <w:b/>
          <w:color w:val="000000" w:themeColor="text1"/>
          <w:sz w:val="22"/>
          <w:szCs w:val="22"/>
        </w:rPr>
        <w:t>刘长友</w:t>
      </w:r>
      <w:bookmarkEnd w:id="8"/>
      <w:r>
        <w:rPr>
          <w:rFonts w:hint="eastAsia"/>
          <w:b/>
          <w:color w:val="000000" w:themeColor="text1"/>
          <w:sz w:val="22"/>
          <w:szCs w:val="22"/>
        </w:rPr>
        <w:t>组织人数：</w:t>
      </w:r>
      <w:bookmarkStart w:id="9" w:name="体系人数"/>
      <w:r>
        <w:rPr>
          <w:b/>
          <w:color w:val="000000" w:themeColor="text1"/>
          <w:sz w:val="22"/>
          <w:szCs w:val="22"/>
          <w:u w:val="single"/>
        </w:rPr>
        <w:t>Q:35,E:35,O:35</w:t>
      </w:r>
      <w:bookmarkEnd w:id="9"/>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0" w:name="Q勾选15"/>
      <w:r>
        <w:rPr>
          <w:rFonts w:hint="eastAsia" w:ascii="宋体" w:hAnsi="宋体"/>
          <w:b/>
          <w:color w:val="000000" w:themeColor="text1"/>
          <w:sz w:val="22"/>
          <w:szCs w:val="22"/>
          <w:u w:val="single"/>
        </w:rPr>
        <w:t>■</w:t>
      </w:r>
      <w:bookmarkEnd w:id="10"/>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1" w:name="E勾选"/>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eastAsia="宋体" w:cs="宋体"/>
          <w:b/>
          <w:color w:val="000000" w:themeColor="text1"/>
          <w:sz w:val="22"/>
          <w:szCs w:val="22"/>
          <w:u w:val="single"/>
        </w:rPr>
        <w:t>▉</w:t>
      </w:r>
      <w:r>
        <w:rPr>
          <w:rFonts w:hint="eastAsia" w:ascii="宋体" w:hAnsi="宋体"/>
          <w:b/>
          <w:color w:val="000000" w:themeColor="text1"/>
          <w:sz w:val="22"/>
          <w:szCs w:val="22"/>
          <w:u w:val="single"/>
        </w:rPr>
        <w:t xml:space="preserve">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Q:监督3,E:监督3,O:监督3</w:t>
      </w:r>
      <w:bookmarkEnd w:id="12"/>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ascii="宋体" w:hAnsi="宋体"/>
          <w:b/>
          <w:color w:val="000000" w:themeColor="text1"/>
          <w:sz w:val="22"/>
          <w:szCs w:val="22"/>
          <w:u w:val="single"/>
        </w:rPr>
      </w:pPr>
      <w:r>
        <w:rPr>
          <w:rFonts w:hint="eastAsia" w:ascii="宋体" w:hAnsi="宋体"/>
          <w:b/>
          <w:color w:val="000000" w:themeColor="text1"/>
          <w:sz w:val="22"/>
          <w:szCs w:val="22"/>
          <w:u w:val="single"/>
        </w:rPr>
        <w:t>QMS：石油钻采专用设备及配件（抽油杆综合保护器、固控设备、抽油机传动系统调整装置、模块化加热装置、除垢装置、井口计量装置、碳纤维连续抽油杆）、水处理设备、石油专用仪器仪表、石油专用电子产品、电动机、3C认证范围内除外的电气设备及配件（变频器、UPS电源）的生产</w:t>
      </w:r>
    </w:p>
    <w:p>
      <w:pPr>
        <w:pStyle w:val="2"/>
        <w:spacing w:line="240" w:lineRule="auto"/>
        <w:ind w:firstLine="0"/>
        <w:rPr>
          <w:b/>
          <w:color w:val="000000" w:themeColor="text1"/>
          <w:sz w:val="22"/>
          <w:szCs w:val="22"/>
          <w:u w:val="single"/>
        </w:rPr>
      </w:pPr>
    </w:p>
    <w:p>
      <w:pPr>
        <w:pStyle w:val="2"/>
        <w:spacing w:line="240" w:lineRule="auto"/>
        <w:ind w:firstLine="0"/>
        <w:rPr>
          <w:rFonts w:hint="eastAsia" w:ascii="宋体" w:hAnsi="宋体"/>
          <w:b/>
          <w:color w:val="000000" w:themeColor="text1"/>
          <w:sz w:val="22"/>
          <w:szCs w:val="22"/>
          <w:u w:val="single"/>
        </w:rPr>
      </w:pPr>
      <w:r>
        <w:rPr>
          <w:rFonts w:hint="eastAsia" w:ascii="宋体" w:hAnsi="宋体"/>
          <w:b/>
          <w:color w:val="000000" w:themeColor="text1"/>
          <w:sz w:val="22"/>
          <w:szCs w:val="22"/>
          <w:u w:val="single"/>
        </w:rPr>
        <w:t>E：石油钻采专用设备及配件（抽油杆综合保护器、固控设备、抽油机传动系统调整装置、模块化加热装置、除垢装置、井口计量装置、碳纤维连续抽油杆）、水处理设备、石油专用仪器仪表、石油专用电子产品、电动机、3C认证范围内除外的电气设备及配件（变频器、UPS电源）的生产及相关环境管理活动。</w:t>
      </w:r>
    </w:p>
    <w:p>
      <w:pPr>
        <w:pStyle w:val="2"/>
        <w:spacing w:line="240" w:lineRule="auto"/>
        <w:ind w:firstLine="0"/>
        <w:rPr>
          <w:rFonts w:hint="eastAsia" w:ascii="宋体" w:hAnsi="宋体"/>
          <w:b/>
          <w:color w:val="000000" w:themeColor="text1"/>
          <w:sz w:val="22"/>
          <w:szCs w:val="22"/>
          <w:u w:val="single"/>
        </w:rPr>
      </w:pPr>
      <w:r>
        <w:rPr>
          <w:rFonts w:hint="eastAsia" w:ascii="宋体" w:hAnsi="宋体"/>
          <w:b/>
          <w:color w:val="000000" w:themeColor="text1"/>
          <w:sz w:val="22"/>
          <w:szCs w:val="22"/>
          <w:u w:val="single"/>
        </w:rPr>
        <w:t>O：石油钻采专用设备及配件（抽油杆综合保护器、固控设备、抽油机传动系统调整装置、模块化加热装置、除垢装置、井口计量装置、碳纤维连续抽油杆）、水处理设备、石油专用仪器仪表、石油专用电子产品、电动机、3C认证范围内除外的电气设备及配件（变频器、UPS电源）的生产及相关职业健康安全管理活动</w:t>
      </w:r>
    </w:p>
    <w:p>
      <w:pPr>
        <w:pStyle w:val="2"/>
        <w:spacing w:line="240" w:lineRule="auto"/>
        <w:ind w:firstLine="0"/>
        <w:rPr>
          <w:b/>
          <w:color w:val="000000" w:themeColor="text1"/>
          <w:sz w:val="22"/>
          <w:szCs w:val="22"/>
          <w:u w:val="single"/>
        </w:rPr>
      </w:pPr>
      <w:r>
        <w:rPr>
          <w:rFonts w:hint="eastAsia"/>
          <w:b/>
          <w:color w:val="000000" w:themeColor="text1"/>
          <w:sz w:val="22"/>
          <w:szCs w:val="22"/>
        </w:rPr>
        <w:t>□QMS：</w:t>
      </w:r>
      <w:r>
        <w:rPr>
          <w:rFonts w:hint="eastAsia"/>
          <w:b/>
          <w:color w:val="000000" w:themeColor="text1"/>
          <w:sz w:val="22"/>
          <w:szCs w:val="22"/>
          <w:u w:val="single"/>
        </w:rPr>
        <w:t xml:space="preserve">  Production of Special equipment and accessories for oil drilling and mining (sucker rod integrated protector, solid control equipment, pumping unit transmission system adjustment device, modular heating device, descaling device, wellhead metering device, carbon fiber continuous sucker rod), water treatment equipment , petroleum-specific instrumentation, petroleum-specific electronic products, electric motors, and electrical equipment and accessories (inverters, UPS power supplies) excluded from the scope of 3C certification </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r>
        <w:rPr>
          <w:rFonts w:hint="eastAsia"/>
          <w:b/>
          <w:color w:val="000000" w:themeColor="text1"/>
          <w:sz w:val="22"/>
          <w:szCs w:val="22"/>
          <w:u w:val="single"/>
        </w:rPr>
        <w:t xml:space="preserve"> Production and related environmental management activities of Special equipment and accessories for oil drilling and mining (sucker rod integrated protector, solid control equipment, pumping unit transmission system adjustment device, modular heating device, descaling device, wellhead metering device, carbon fiber continuous sucker rod), water treatment equipment , petroleum-specific instrumentation, petroleum-specific electronic products, electric motors, and electrical equipment and accessories (inverters, UPS power supplies) excluded from the scope of 3C certification       </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r>
        <w:rPr>
          <w:rFonts w:hint="eastAsia"/>
          <w:b/>
          <w:color w:val="000000" w:themeColor="text1"/>
          <w:sz w:val="22"/>
          <w:szCs w:val="22"/>
          <w:u w:val="single"/>
        </w:rPr>
        <w:t xml:space="preserve">Production and related occupational health and safety management activities of Special equipment and accessories for oil drilling and mining (sucker rod integrated protector, solid control equipment, pumping unit transmission system adjustment device, modular heating device, descaling device, wellhead metering device, carbon fiber continuous sucker rod), water treatment equipment , petroleum-specific instrumentation, petroleum-specific electronic products, electric motors, and electrical equipment and accessories (inverters, UPS power supplies) excluded from the scope of 3C certification                 </w:t>
      </w: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2020.7.20</w:t>
      </w:r>
      <w:bookmarkStart w:id="13" w:name="_GoBack"/>
      <w:bookmarkEnd w:id="13"/>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E7970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1</TotalTime>
  <ScaleCrop>false</ScaleCrop>
  <LinksUpToDate>false</LinksUpToDate>
  <CharactersWithSpaces>816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dcterms:modified xsi:type="dcterms:W3CDTF">2020-07-20T06:09:42Z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