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江西志东水利工程有限公司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张锐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2025年04月27日 下午至2025年04月30日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文斌亮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