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   主管领导：</w:t>
            </w:r>
            <w:r>
              <w:rPr>
                <w:rFonts w:hint="eastAsia" w:ascii="楷体" w:hAnsi="楷体" w:eastAsia="楷体"/>
                <w:sz w:val="24"/>
                <w:szCs w:val="24"/>
                <w:lang w:val="en-US" w:eastAsia="zh-CN"/>
              </w:rPr>
              <w:t>杨金东</w:t>
            </w:r>
            <w:r>
              <w:rPr>
                <w:rFonts w:hint="eastAsia" w:ascii="楷体" w:hAnsi="楷体" w:eastAsia="楷体"/>
                <w:sz w:val="24"/>
                <w:szCs w:val="24"/>
              </w:rPr>
              <w:t xml:space="preserve">  陪同人员：</w:t>
            </w:r>
            <w:r>
              <w:rPr>
                <w:rFonts w:hint="eastAsia" w:ascii="楷体" w:hAnsi="楷体" w:eastAsia="楷体"/>
                <w:sz w:val="24"/>
                <w:szCs w:val="24"/>
                <w:lang w:val="en-US" w:eastAsia="zh-CN"/>
              </w:rPr>
              <w:t>肖海军</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2020.7.14</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320" w:lineRule="exact"/>
              <w:ind w:right="105" w:rightChars="50"/>
              <w:textAlignment w:val="baseline"/>
              <w:rPr>
                <w:rFonts w:hint="eastAsia" w:ascii="楷体" w:hAnsi="楷体" w:eastAsia="楷体" w:cs="楷体"/>
                <w:sz w:val="21"/>
                <w:szCs w:val="21"/>
              </w:rPr>
            </w:pPr>
            <w:r>
              <w:rPr>
                <w:rFonts w:hint="eastAsia" w:ascii="楷体" w:hAnsi="楷体" w:eastAsia="楷体"/>
                <w:sz w:val="24"/>
                <w:szCs w:val="24"/>
              </w:rPr>
              <w:t>审核条款：</w:t>
            </w:r>
            <w:r>
              <w:rPr>
                <w:rFonts w:hint="eastAsia" w:ascii="楷体" w:hAnsi="楷体" w:eastAsia="楷体" w:cs="楷体"/>
                <w:sz w:val="21"/>
                <w:szCs w:val="21"/>
              </w:rPr>
              <w:t>QMS: 5.3组织的岗位、职责和权限、6.2质量目标、8.1运行策划和控制、8.3产品和服务的设计和开发、8.5.1生产和服务提供的控制、8.5.2产品标识和可追朔性、8.5.4产品防护、8.5.6生产和服务提供的更改控制</w:t>
            </w:r>
          </w:p>
          <w:p>
            <w:pPr>
              <w:spacing w:line="320" w:lineRule="exact"/>
              <w:rPr>
                <w:rFonts w:hint="eastAsia" w:ascii="楷体" w:hAnsi="楷体" w:eastAsia="楷体" w:cs="楷体"/>
                <w:sz w:val="21"/>
                <w:szCs w:val="21"/>
              </w:rPr>
            </w:pPr>
            <w:r>
              <w:rPr>
                <w:rFonts w:hint="eastAsia" w:ascii="楷体" w:hAnsi="楷体" w:eastAsia="楷体" w:cs="楷体"/>
                <w:sz w:val="21"/>
                <w:szCs w:val="21"/>
              </w:rPr>
              <w:t>EMS: 5.3组织的岗位、职责和权限、6.2环境目标、6.1.2环境因素、8.1运行策划和控制、8.2应急准备和响应、</w:t>
            </w:r>
          </w:p>
          <w:p>
            <w:pPr>
              <w:rPr>
                <w:rFonts w:ascii="楷体" w:hAnsi="楷体" w:eastAsia="楷体" w:cs="Arial"/>
                <w:sz w:val="24"/>
                <w:szCs w:val="24"/>
              </w:rPr>
            </w:pPr>
            <w:r>
              <w:rPr>
                <w:rFonts w:hint="eastAsia" w:ascii="楷体" w:hAnsi="楷体" w:eastAsia="楷体" w:cs="楷体"/>
                <w:sz w:val="21"/>
                <w:szCs w:val="21"/>
              </w:rPr>
              <w:t xml:space="preserve">OHSMS: 5.3组织的岗位、职责和权限、6.2职业健康安全目标、6.1.2危险源辨识与评价、8.1运行策划和控制、8.2应急准备和响应， </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QE</w:t>
            </w:r>
            <w:r>
              <w:rPr>
                <w:rFonts w:hint="eastAsia" w:ascii="楷体" w:hAnsi="楷体" w:eastAsia="楷体" w:cs="Arial"/>
                <w:sz w:val="24"/>
                <w:szCs w:val="24"/>
                <w:lang w:val="en-US" w:eastAsia="zh-CN"/>
              </w:rPr>
              <w:t>O：</w:t>
            </w:r>
            <w:r>
              <w:rPr>
                <w:rFonts w:hint="eastAsia" w:ascii="楷体" w:hAnsi="楷体" w:eastAsia="楷体" w:cs="Arial"/>
                <w:sz w:val="24"/>
                <w:szCs w:val="24"/>
              </w:rPr>
              <w:t xml:space="preserve"> 5.3</w:t>
            </w:r>
          </w:p>
          <w:p>
            <w:pPr>
              <w:spacing w:line="360" w:lineRule="auto"/>
              <w:rPr>
                <w:rFonts w:ascii="楷体" w:hAnsi="楷体" w:eastAsia="楷体" w:cs="Arial"/>
                <w:sz w:val="24"/>
                <w:szCs w:val="24"/>
              </w:rPr>
            </w:pPr>
          </w:p>
        </w:tc>
        <w:tc>
          <w:tcPr>
            <w:tcW w:w="10004" w:type="dxa"/>
          </w:tcPr>
          <w:p>
            <w:pPr>
              <w:spacing w:line="360" w:lineRule="auto"/>
              <w:rPr>
                <w:rFonts w:ascii="楷体" w:hAnsi="楷体" w:eastAsia="楷体"/>
                <w:sz w:val="24"/>
                <w:szCs w:val="24"/>
              </w:rPr>
            </w:pPr>
            <w:r>
              <w:rPr>
                <w:rFonts w:hint="eastAsia" w:ascii="楷体" w:hAnsi="楷体" w:eastAsia="楷体"/>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环境因素、危险源辨识和控制，负责生产过程运行的环境和安全控制，应急预案并实施预案的紧急演练，负责产品生产作业活动、过程中环境安全的监视和测量，负责生产进度、现场工作环境和安全生产管理。</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生产部上述作用和职责、权限基本得到有效沟通和实施。</w:t>
            </w:r>
          </w:p>
          <w:p>
            <w:pPr>
              <w:spacing w:line="360" w:lineRule="auto"/>
              <w:ind w:firstLine="480" w:firstLineChars="200"/>
              <w:rPr>
                <w:rFonts w:hint="eastAsia" w:ascii="楷体" w:hAnsi="楷体" w:eastAsia="楷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w:t>
            </w:r>
            <w:r>
              <w:rPr>
                <w:rFonts w:hint="eastAsia" w:ascii="楷体" w:hAnsi="楷体" w:eastAsia="楷体" w:cs="Arial"/>
                <w:sz w:val="24"/>
                <w:szCs w:val="24"/>
                <w:lang w:val="en-US" w:eastAsia="zh-CN"/>
              </w:rPr>
              <w:t>O</w:t>
            </w:r>
            <w:r>
              <w:rPr>
                <w:rFonts w:hint="eastAsia" w:ascii="楷体" w:hAnsi="楷体" w:eastAsia="楷体" w:cs="Arial"/>
                <w:sz w:val="24"/>
                <w:szCs w:val="24"/>
              </w:rPr>
              <w:t>:6.2</w:t>
            </w:r>
          </w:p>
          <w:p>
            <w:pPr>
              <w:spacing w:line="360" w:lineRule="auto"/>
              <w:rPr>
                <w:rFonts w:ascii="楷体" w:hAnsi="楷体" w:eastAsia="楷体" w:cs="Arial"/>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门目标：</w:t>
            </w:r>
          </w:p>
          <w:p>
            <w:pPr>
              <w:pStyle w:val="2"/>
              <w:numPr>
                <w:ilvl w:val="0"/>
                <w:numId w:val="1"/>
              </w:numPr>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生产工艺贯彻执行率100%；</w:t>
            </w:r>
          </w:p>
          <w:p>
            <w:pPr>
              <w:pStyle w:val="2"/>
              <w:numPr>
                <w:ilvl w:val="0"/>
                <w:numId w:val="1"/>
              </w:numPr>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生产设备完好率≥90%；</w:t>
            </w:r>
          </w:p>
          <w:p>
            <w:pPr>
              <w:ind w:right="42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3、不违规排放污染物；</w:t>
            </w:r>
          </w:p>
          <w:p>
            <w:pPr>
              <w:ind w:right="42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4、杜绝火灾。</w:t>
            </w:r>
          </w:p>
          <w:p>
            <w:pPr>
              <w:spacing w:line="360" w:lineRule="auto"/>
              <w:rPr>
                <w:rFonts w:ascii="楷体" w:hAnsi="楷体" w:eastAsia="楷体"/>
                <w:sz w:val="24"/>
                <w:szCs w:val="24"/>
              </w:rPr>
            </w:pPr>
            <w:r>
              <w:rPr>
                <w:rFonts w:hint="eastAsia" w:ascii="楷体" w:hAnsi="楷体" w:eastAsia="楷体"/>
                <w:sz w:val="24"/>
                <w:szCs w:val="24"/>
              </w:rPr>
              <w:t>考核情况：</w:t>
            </w:r>
            <w:r>
              <w:rPr>
                <w:rFonts w:hint="eastAsia" w:ascii="楷体" w:hAnsi="楷体" w:eastAsia="楷体"/>
                <w:sz w:val="24"/>
                <w:szCs w:val="24"/>
                <w:lang w:val="en-US" w:eastAsia="zh-CN"/>
              </w:rPr>
              <w:t>2020.6.10</w:t>
            </w:r>
            <w:r>
              <w:rPr>
                <w:rFonts w:hint="eastAsia" w:ascii="楷体" w:hAnsi="楷体" w:eastAsia="楷体"/>
                <w:sz w:val="24"/>
                <w:szCs w:val="24"/>
              </w:rPr>
              <w:t>日考核情况。</w:t>
            </w:r>
          </w:p>
          <w:p>
            <w:pPr>
              <w:pStyle w:val="2"/>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1.生产工艺贯彻执行率达到100%；《（12÷12）×100%》=100%；</w:t>
            </w:r>
          </w:p>
          <w:p>
            <w:pPr>
              <w:pStyle w:val="2"/>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2.生产设备完好率达到100%；8/8× 100%=100%；</w:t>
            </w:r>
          </w:p>
          <w:p>
            <w:pPr>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3、无违规排放污染物；</w:t>
            </w:r>
          </w:p>
          <w:p>
            <w:pPr>
              <w:spacing w:line="360" w:lineRule="auto"/>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4、未发生火灾。</w:t>
            </w:r>
          </w:p>
          <w:p>
            <w:pPr>
              <w:spacing w:line="360" w:lineRule="auto"/>
              <w:rPr>
                <w:rFonts w:ascii="楷体" w:hAnsi="楷体" w:eastAsia="楷体"/>
                <w:sz w:val="24"/>
                <w:szCs w:val="24"/>
              </w:rPr>
            </w:pPr>
            <w:r>
              <w:rPr>
                <w:rFonts w:hint="eastAsia" w:ascii="楷体" w:hAnsi="楷体" w:eastAsia="楷体"/>
                <w:sz w:val="24"/>
                <w:szCs w:val="24"/>
              </w:rPr>
              <w:t>抽环境管理方案，明确了措施、责任人、时间、资金投入要求：</w:t>
            </w:r>
          </w:p>
          <w:tbl>
            <w:tblPr>
              <w:tblStyle w:val="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724"/>
              <w:gridCol w:w="863"/>
              <w:gridCol w:w="709"/>
              <w:gridCol w:w="2551"/>
              <w:gridCol w:w="851"/>
              <w:gridCol w:w="850"/>
              <w:gridCol w:w="85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415" w:type="dxa"/>
                  <w:vMerge w:val="restart"/>
                  <w:vAlign w:val="center"/>
                </w:tcPr>
                <w:p>
                  <w:pPr>
                    <w:spacing w:line="240" w:lineRule="exact"/>
                    <w:jc w:val="center"/>
                    <w:rPr>
                      <w:rFonts w:ascii="楷体" w:hAnsi="楷体" w:eastAsia="楷体"/>
                    </w:rPr>
                  </w:pPr>
                  <w:r>
                    <w:rPr>
                      <w:rFonts w:hint="eastAsia" w:ascii="楷体" w:hAnsi="楷体" w:eastAsia="楷体"/>
                    </w:rPr>
                    <w:t>序号</w:t>
                  </w:r>
                </w:p>
              </w:tc>
              <w:tc>
                <w:tcPr>
                  <w:tcW w:w="724" w:type="dxa"/>
                  <w:vMerge w:val="restart"/>
                  <w:vAlign w:val="center"/>
                </w:tcPr>
                <w:p>
                  <w:pPr>
                    <w:spacing w:line="240" w:lineRule="exact"/>
                    <w:jc w:val="center"/>
                    <w:rPr>
                      <w:rFonts w:ascii="楷体" w:hAnsi="楷体" w:eastAsia="楷体"/>
                    </w:rPr>
                  </w:pPr>
                  <w:r>
                    <w:rPr>
                      <w:rFonts w:hint="eastAsia" w:ascii="楷体" w:hAnsi="楷体" w:eastAsia="楷体"/>
                    </w:rPr>
                    <w:t>重要环境因素</w:t>
                  </w:r>
                </w:p>
              </w:tc>
              <w:tc>
                <w:tcPr>
                  <w:tcW w:w="863" w:type="dxa"/>
                  <w:vMerge w:val="restart"/>
                  <w:vAlign w:val="center"/>
                </w:tcPr>
                <w:p>
                  <w:pPr>
                    <w:spacing w:line="240" w:lineRule="exact"/>
                    <w:jc w:val="center"/>
                    <w:rPr>
                      <w:rFonts w:ascii="楷体" w:hAnsi="楷体" w:eastAsia="楷体"/>
                    </w:rPr>
                  </w:pPr>
                  <w:r>
                    <w:rPr>
                      <w:rFonts w:hint="eastAsia" w:ascii="楷体" w:hAnsi="楷体" w:eastAsia="楷体"/>
                    </w:rPr>
                    <w:t>目标</w:t>
                  </w:r>
                </w:p>
              </w:tc>
              <w:tc>
                <w:tcPr>
                  <w:tcW w:w="709" w:type="dxa"/>
                  <w:vMerge w:val="restart"/>
                  <w:vAlign w:val="center"/>
                </w:tcPr>
                <w:p>
                  <w:pPr>
                    <w:spacing w:line="240" w:lineRule="exact"/>
                    <w:jc w:val="center"/>
                    <w:rPr>
                      <w:rFonts w:ascii="楷体" w:hAnsi="楷体" w:eastAsia="楷体"/>
                    </w:rPr>
                  </w:pPr>
                  <w:r>
                    <w:rPr>
                      <w:rFonts w:hint="eastAsia" w:ascii="楷体" w:hAnsi="楷体" w:eastAsia="楷体"/>
                    </w:rPr>
                    <w:t>指标</w:t>
                  </w:r>
                </w:p>
              </w:tc>
              <w:tc>
                <w:tcPr>
                  <w:tcW w:w="5103" w:type="dxa"/>
                  <w:gridSpan w:val="4"/>
                  <w:vAlign w:val="center"/>
                </w:tcPr>
                <w:p>
                  <w:pPr>
                    <w:spacing w:line="240" w:lineRule="exact"/>
                    <w:jc w:val="center"/>
                    <w:rPr>
                      <w:rFonts w:ascii="楷体" w:hAnsi="楷体" w:eastAsia="楷体"/>
                    </w:rPr>
                  </w:pPr>
                  <w:r>
                    <w:rPr>
                      <w:rFonts w:hint="eastAsia" w:ascii="楷体" w:hAnsi="楷体" w:eastAsia="楷体"/>
                    </w:rPr>
                    <w:t>管   理   方   案</w:t>
                  </w:r>
                </w:p>
              </w:tc>
              <w:tc>
                <w:tcPr>
                  <w:tcW w:w="709" w:type="dxa"/>
                  <w:vMerge w:val="restart"/>
                  <w:vAlign w:val="center"/>
                </w:tcPr>
                <w:p>
                  <w:pPr>
                    <w:spacing w:line="240" w:lineRule="exact"/>
                    <w:jc w:val="center"/>
                    <w:rPr>
                      <w:rFonts w:ascii="楷体" w:hAnsi="楷体" w:eastAsia="楷体"/>
                    </w:rPr>
                  </w:pPr>
                  <w:r>
                    <w:rPr>
                      <w:rFonts w:hint="eastAsia" w:ascii="楷体" w:hAnsi="楷体" w:eastAsia="楷体"/>
                    </w:rPr>
                    <w:t>检查部门</w:t>
                  </w:r>
                </w:p>
              </w:tc>
              <w:tc>
                <w:tcPr>
                  <w:tcW w:w="992" w:type="dxa"/>
                  <w:vMerge w:val="restart"/>
                  <w:vAlign w:val="center"/>
                </w:tcPr>
                <w:p>
                  <w:pPr>
                    <w:spacing w:line="240" w:lineRule="exact"/>
                    <w:jc w:val="center"/>
                    <w:rPr>
                      <w:rFonts w:ascii="楷体" w:hAnsi="楷体" w:eastAsia="楷体"/>
                    </w:rPr>
                  </w:pPr>
                  <w:r>
                    <w:rPr>
                      <w:rFonts w:hint="eastAsia" w:ascii="楷体" w:hAnsi="楷体" w:eastAsia="楷体"/>
                    </w:rPr>
                    <w:t>日常运行控制部门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jc w:val="center"/>
                    <w:rPr>
                      <w:rFonts w:ascii="楷体" w:hAnsi="楷体" w:eastAsia="楷体"/>
                    </w:rPr>
                  </w:pPr>
                  <w:r>
                    <w:rPr>
                      <w:rFonts w:hint="eastAsia" w:ascii="楷体" w:hAnsi="楷体" w:eastAsia="楷体"/>
                    </w:rPr>
                    <w:t>方法、措施/技术手段</w:t>
                  </w:r>
                </w:p>
              </w:tc>
              <w:tc>
                <w:tcPr>
                  <w:tcW w:w="851" w:type="dxa"/>
                  <w:vAlign w:val="center"/>
                </w:tcPr>
                <w:p>
                  <w:pPr>
                    <w:spacing w:line="240" w:lineRule="exact"/>
                    <w:jc w:val="center"/>
                    <w:rPr>
                      <w:rFonts w:ascii="楷体" w:hAnsi="楷体" w:eastAsia="楷体"/>
                    </w:rPr>
                  </w:pPr>
                  <w:r>
                    <w:rPr>
                      <w:rFonts w:hint="eastAsia" w:ascii="楷体" w:hAnsi="楷体" w:eastAsia="楷体"/>
                    </w:rPr>
                    <w:t>责任部门</w:t>
                  </w:r>
                </w:p>
              </w:tc>
              <w:tc>
                <w:tcPr>
                  <w:tcW w:w="850" w:type="dxa"/>
                  <w:vAlign w:val="center"/>
                </w:tcPr>
                <w:p>
                  <w:pPr>
                    <w:spacing w:line="240" w:lineRule="exact"/>
                    <w:jc w:val="center"/>
                    <w:rPr>
                      <w:rFonts w:ascii="楷体" w:hAnsi="楷体" w:eastAsia="楷体"/>
                    </w:rPr>
                  </w:pPr>
                  <w:r>
                    <w:rPr>
                      <w:rFonts w:hint="eastAsia" w:ascii="楷体" w:hAnsi="楷体" w:eastAsia="楷体"/>
                    </w:rPr>
                    <w:t>预算（元）</w:t>
                  </w:r>
                </w:p>
              </w:tc>
              <w:tc>
                <w:tcPr>
                  <w:tcW w:w="851" w:type="dxa"/>
                  <w:vAlign w:val="center"/>
                </w:tcPr>
                <w:p>
                  <w:pPr>
                    <w:spacing w:line="240" w:lineRule="exact"/>
                    <w:jc w:val="center"/>
                    <w:rPr>
                      <w:rFonts w:ascii="楷体" w:hAnsi="楷体" w:eastAsia="楷体"/>
                    </w:rPr>
                  </w:pPr>
                  <w:r>
                    <w:rPr>
                      <w:rFonts w:hint="eastAsia" w:ascii="楷体" w:hAnsi="楷体" w:eastAsia="楷体"/>
                    </w:rPr>
                    <w:t>完成日期</w:t>
                  </w: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restart"/>
                  <w:vAlign w:val="center"/>
                </w:tcPr>
                <w:p>
                  <w:pPr>
                    <w:spacing w:line="240" w:lineRule="exact"/>
                    <w:rPr>
                      <w:rFonts w:ascii="楷体" w:hAnsi="楷体" w:eastAsia="楷体"/>
                    </w:rPr>
                  </w:pPr>
                  <w:r>
                    <w:rPr>
                      <w:rFonts w:hint="eastAsia" w:ascii="楷体" w:hAnsi="楷体" w:eastAsia="楷体"/>
                    </w:rPr>
                    <w:t>1</w:t>
                  </w:r>
                </w:p>
              </w:tc>
              <w:tc>
                <w:tcPr>
                  <w:tcW w:w="724" w:type="dxa"/>
                  <w:vMerge w:val="restart"/>
                  <w:vAlign w:val="center"/>
                </w:tcPr>
                <w:p>
                  <w:pPr>
                    <w:spacing w:line="240" w:lineRule="exact"/>
                    <w:rPr>
                      <w:rFonts w:ascii="楷体" w:hAnsi="楷体" w:eastAsia="楷体"/>
                    </w:rPr>
                  </w:pPr>
                  <w:r>
                    <w:rPr>
                      <w:rFonts w:hint="eastAsia" w:ascii="楷体" w:hAnsi="楷体" w:eastAsia="楷体"/>
                    </w:rPr>
                    <w:t>潜在火灾隐患为零</w:t>
                  </w:r>
                </w:p>
              </w:tc>
              <w:tc>
                <w:tcPr>
                  <w:tcW w:w="863" w:type="dxa"/>
                  <w:vMerge w:val="restart"/>
                  <w:vAlign w:val="center"/>
                </w:tcPr>
                <w:p>
                  <w:pPr>
                    <w:spacing w:line="240" w:lineRule="exact"/>
                    <w:rPr>
                      <w:rFonts w:ascii="楷体" w:hAnsi="楷体" w:eastAsia="楷体"/>
                    </w:rPr>
                  </w:pPr>
                  <w:r>
                    <w:rPr>
                      <w:rFonts w:hint="eastAsia" w:ascii="楷体" w:hAnsi="楷体" w:eastAsia="楷体"/>
                    </w:rPr>
                    <w:t>防范火灾事故</w:t>
                  </w:r>
                </w:p>
              </w:tc>
              <w:tc>
                <w:tcPr>
                  <w:tcW w:w="709" w:type="dxa"/>
                  <w:vMerge w:val="restart"/>
                  <w:vAlign w:val="center"/>
                </w:tcPr>
                <w:p>
                  <w:pPr>
                    <w:spacing w:line="240" w:lineRule="exact"/>
                    <w:rPr>
                      <w:rFonts w:ascii="楷体" w:hAnsi="楷体" w:eastAsia="楷体"/>
                    </w:rPr>
                  </w:pPr>
                  <w:r>
                    <w:rPr>
                      <w:rFonts w:hint="eastAsia" w:ascii="楷体" w:hAnsi="楷体" w:eastAsia="楷体"/>
                    </w:rPr>
                    <w:t>火灾事故为零</w:t>
                  </w:r>
                </w:p>
              </w:tc>
              <w:tc>
                <w:tcPr>
                  <w:tcW w:w="2551" w:type="dxa"/>
                  <w:vAlign w:val="center"/>
                </w:tcPr>
                <w:p>
                  <w:pPr>
                    <w:spacing w:line="240" w:lineRule="exact"/>
                    <w:rPr>
                      <w:rFonts w:ascii="楷体" w:hAnsi="楷体" w:eastAsia="楷体"/>
                    </w:rPr>
                  </w:pPr>
                  <w:r>
                    <w:rPr>
                      <w:rFonts w:hint="eastAsia" w:ascii="楷体" w:hAnsi="楷体" w:eastAsia="楷体"/>
                    </w:rPr>
                    <w:t>1 根据实际需要，补充配置消防设施，定期检查</w:t>
                  </w:r>
                </w:p>
              </w:tc>
              <w:tc>
                <w:tcPr>
                  <w:tcW w:w="851" w:type="dxa"/>
                  <w:vAlign w:val="center"/>
                </w:tcPr>
                <w:p>
                  <w:pPr>
                    <w:spacing w:line="240" w:lineRule="exact"/>
                    <w:rPr>
                      <w:rFonts w:ascii="楷体" w:hAnsi="楷体" w:eastAsia="楷体"/>
                    </w:rPr>
                  </w:pPr>
                  <w:r>
                    <w:rPr>
                      <w:rFonts w:hint="eastAsia" w:ascii="楷体" w:hAnsi="楷体" w:eastAsia="楷体"/>
                    </w:rPr>
                    <w:t>行政部</w:t>
                  </w:r>
                </w:p>
              </w:tc>
              <w:tc>
                <w:tcPr>
                  <w:tcW w:w="850" w:type="dxa"/>
                  <w:vMerge w:val="restart"/>
                  <w:vAlign w:val="center"/>
                </w:tcPr>
                <w:p>
                  <w:pPr>
                    <w:spacing w:line="240" w:lineRule="exact"/>
                    <w:rPr>
                      <w:rFonts w:ascii="楷体" w:hAnsi="楷体" w:eastAsia="楷体"/>
                    </w:rPr>
                  </w:pPr>
                  <w:r>
                    <w:rPr>
                      <w:rFonts w:hint="eastAsia" w:ascii="楷体" w:hAnsi="楷体" w:eastAsia="楷体"/>
                    </w:rPr>
                    <w:t>4000</w:t>
                  </w:r>
                </w:p>
              </w:tc>
              <w:tc>
                <w:tcPr>
                  <w:tcW w:w="851" w:type="dxa"/>
                  <w:vMerge w:val="restart"/>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709" w:type="dxa"/>
                  <w:vMerge w:val="restart"/>
                  <w:vAlign w:val="center"/>
                </w:tcPr>
                <w:p>
                  <w:pPr>
                    <w:spacing w:line="240" w:lineRule="exact"/>
                    <w:rPr>
                      <w:rFonts w:ascii="楷体" w:hAnsi="楷体" w:eastAsia="楷体"/>
                    </w:rPr>
                  </w:pPr>
                  <w:r>
                    <w:rPr>
                      <w:rFonts w:hint="eastAsia" w:ascii="楷体" w:hAnsi="楷体" w:eastAsia="楷体"/>
                    </w:rPr>
                    <w:t>管代</w:t>
                  </w:r>
                </w:p>
              </w:tc>
              <w:tc>
                <w:tcPr>
                  <w:tcW w:w="992" w:type="dxa"/>
                  <w:vMerge w:val="restart"/>
                  <w:vAlign w:val="center"/>
                </w:tcPr>
                <w:p>
                  <w:pPr>
                    <w:spacing w:line="240" w:lineRule="exact"/>
                    <w:rPr>
                      <w:rFonts w:ascii="楷体" w:hAnsi="楷体" w:eastAsia="楷体"/>
                    </w:rPr>
                  </w:pPr>
                  <w:r>
                    <w:rPr>
                      <w:rFonts w:hint="eastAsia" w:ascii="楷体" w:hAnsi="楷体" w:eastAsia="楷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rPr>
                      <w:rFonts w:ascii="楷体" w:hAnsi="楷体" w:eastAsia="楷体"/>
                    </w:rPr>
                  </w:pPr>
                  <w:r>
                    <w:rPr>
                      <w:rFonts w:hint="eastAsia" w:ascii="楷体" w:hAnsi="楷体" w:eastAsia="楷体"/>
                    </w:rPr>
                    <w:t>2制订火灾应急预案，定期评审，每年组织进行一次消防演习。</w:t>
                  </w:r>
                </w:p>
              </w:tc>
              <w:tc>
                <w:tcPr>
                  <w:tcW w:w="851" w:type="dxa"/>
                  <w:vAlign w:val="center"/>
                </w:tcPr>
                <w:p>
                  <w:pPr>
                    <w:spacing w:line="240" w:lineRule="exact"/>
                    <w:rPr>
                      <w:rFonts w:ascii="楷体" w:hAnsi="楷体" w:eastAsia="楷体"/>
                    </w:rPr>
                  </w:pPr>
                  <w:r>
                    <w:rPr>
                      <w:rFonts w:hint="eastAsia" w:ascii="楷体" w:hAnsi="楷体" w:eastAsia="楷体"/>
                    </w:rPr>
                    <w:t>行政部/生产部</w:t>
                  </w: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rPr>
                      <w:rFonts w:ascii="楷体" w:hAnsi="楷体" w:eastAsia="楷体"/>
                    </w:rPr>
                  </w:pPr>
                  <w:r>
                    <w:rPr>
                      <w:rFonts w:hint="eastAsia" w:ascii="楷体" w:hAnsi="楷体" w:eastAsia="楷体"/>
                    </w:rPr>
                    <w:t>3组织员工安全知识培训，提高员工安全意识和环保意识</w:t>
                  </w:r>
                </w:p>
              </w:tc>
              <w:tc>
                <w:tcPr>
                  <w:tcW w:w="851" w:type="dxa"/>
                  <w:vAlign w:val="center"/>
                </w:tcPr>
                <w:p>
                  <w:pPr>
                    <w:spacing w:line="240" w:lineRule="exact"/>
                    <w:rPr>
                      <w:rFonts w:ascii="楷体" w:hAnsi="楷体" w:eastAsia="楷体"/>
                    </w:rPr>
                  </w:pPr>
                  <w:r>
                    <w:rPr>
                      <w:rFonts w:hint="eastAsia" w:ascii="楷体" w:hAnsi="楷体" w:eastAsia="楷体"/>
                    </w:rPr>
                    <w:t>行政部</w:t>
                  </w: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rPr>
                      <w:rFonts w:ascii="楷体" w:hAnsi="楷体" w:eastAsia="楷体"/>
                    </w:rPr>
                  </w:pPr>
                  <w:r>
                    <w:rPr>
                      <w:rFonts w:hint="eastAsia" w:ascii="楷体" w:hAnsi="楷体" w:eastAsia="楷体"/>
                    </w:rPr>
                    <w:t>4制定仓库管理制度</w:t>
                  </w:r>
                </w:p>
              </w:tc>
              <w:tc>
                <w:tcPr>
                  <w:tcW w:w="851" w:type="dxa"/>
                  <w:vAlign w:val="center"/>
                </w:tcPr>
                <w:p>
                  <w:pPr>
                    <w:spacing w:line="240" w:lineRule="exact"/>
                    <w:rPr>
                      <w:rFonts w:ascii="楷体" w:hAnsi="楷体" w:eastAsia="楷体"/>
                    </w:rPr>
                  </w:pPr>
                  <w:r>
                    <w:rPr>
                      <w:rFonts w:hint="eastAsia" w:ascii="楷体" w:hAnsi="楷体" w:eastAsia="楷体"/>
                    </w:rPr>
                    <w:t>生产部</w:t>
                  </w: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415" w:type="dxa"/>
                  <w:vMerge w:val="restart"/>
                  <w:vAlign w:val="center"/>
                </w:tcPr>
                <w:p>
                  <w:pPr>
                    <w:spacing w:line="240" w:lineRule="exact"/>
                    <w:rPr>
                      <w:rFonts w:ascii="楷体" w:hAnsi="楷体" w:eastAsia="楷体"/>
                    </w:rPr>
                  </w:pPr>
                  <w:r>
                    <w:rPr>
                      <w:rFonts w:hint="eastAsia" w:ascii="楷体" w:hAnsi="楷体" w:eastAsia="楷体"/>
                    </w:rPr>
                    <w:t>2</w:t>
                  </w:r>
                </w:p>
              </w:tc>
              <w:tc>
                <w:tcPr>
                  <w:tcW w:w="724" w:type="dxa"/>
                  <w:vMerge w:val="restart"/>
                  <w:vAlign w:val="center"/>
                </w:tcPr>
                <w:p>
                  <w:pPr>
                    <w:spacing w:line="240" w:lineRule="exact"/>
                    <w:rPr>
                      <w:rFonts w:ascii="楷体" w:hAnsi="楷体" w:eastAsia="楷体"/>
                    </w:rPr>
                  </w:pPr>
                  <w:r>
                    <w:rPr>
                      <w:rFonts w:hint="eastAsia" w:ascii="楷体" w:hAnsi="楷体" w:eastAsia="楷体"/>
                    </w:rPr>
                    <w:t>固体废弃物分类</w:t>
                  </w:r>
                </w:p>
              </w:tc>
              <w:tc>
                <w:tcPr>
                  <w:tcW w:w="863" w:type="dxa"/>
                  <w:vMerge w:val="restart"/>
                  <w:vAlign w:val="center"/>
                </w:tcPr>
                <w:p>
                  <w:pPr>
                    <w:spacing w:line="240" w:lineRule="exact"/>
                    <w:rPr>
                      <w:rFonts w:ascii="楷体" w:hAnsi="楷体" w:eastAsia="楷体"/>
                    </w:rPr>
                  </w:pPr>
                  <w:r>
                    <w:rPr>
                      <w:rFonts w:hint="eastAsia" w:ascii="楷体" w:hAnsi="楷体" w:eastAsia="楷体"/>
                    </w:rPr>
                    <w:t>固体废弃物分类存放并及时处理</w:t>
                  </w:r>
                </w:p>
              </w:tc>
              <w:tc>
                <w:tcPr>
                  <w:tcW w:w="709" w:type="dxa"/>
                  <w:vMerge w:val="restart"/>
                  <w:vAlign w:val="center"/>
                </w:tcPr>
                <w:p>
                  <w:pPr>
                    <w:spacing w:line="240" w:lineRule="exact"/>
                    <w:rPr>
                      <w:rFonts w:ascii="楷体" w:hAnsi="楷体" w:eastAsia="楷体"/>
                    </w:rPr>
                  </w:pPr>
                  <w:r>
                    <w:rPr>
                      <w:rFonts w:hint="eastAsia" w:ascii="楷体" w:hAnsi="楷体" w:eastAsia="楷体"/>
                    </w:rPr>
                    <w:t>固废分类处置率</w:t>
                  </w:r>
                  <w:r>
                    <w:rPr>
                      <w:rFonts w:ascii="楷体" w:hAnsi="楷体" w:eastAsia="楷体"/>
                    </w:rPr>
                    <w:t>100%</w:t>
                  </w:r>
                </w:p>
              </w:tc>
              <w:tc>
                <w:tcPr>
                  <w:tcW w:w="2551" w:type="dxa"/>
                  <w:vAlign w:val="center"/>
                </w:tcPr>
                <w:p>
                  <w:pPr>
                    <w:spacing w:line="240" w:lineRule="exact"/>
                    <w:rPr>
                      <w:rFonts w:ascii="楷体" w:hAnsi="楷体" w:eastAsia="楷体"/>
                    </w:rPr>
                  </w:pPr>
                  <w:r>
                    <w:rPr>
                      <w:rFonts w:hint="eastAsia" w:ascii="楷体" w:hAnsi="楷体" w:eastAsia="楷体"/>
                    </w:rPr>
                    <w:t>1.固体废弃物分类存放</w:t>
                  </w:r>
                </w:p>
              </w:tc>
              <w:tc>
                <w:tcPr>
                  <w:tcW w:w="851" w:type="dxa"/>
                  <w:vMerge w:val="restart"/>
                  <w:vAlign w:val="center"/>
                </w:tcPr>
                <w:p>
                  <w:pPr>
                    <w:spacing w:line="240" w:lineRule="exact"/>
                    <w:rPr>
                      <w:rFonts w:ascii="楷体" w:hAnsi="楷体" w:eastAsia="楷体"/>
                    </w:rPr>
                  </w:pPr>
                  <w:r>
                    <w:rPr>
                      <w:rFonts w:hint="eastAsia" w:ascii="楷体" w:hAnsi="楷体" w:eastAsia="楷体"/>
                    </w:rPr>
                    <w:t>行政部/生产部</w:t>
                  </w:r>
                </w:p>
              </w:tc>
              <w:tc>
                <w:tcPr>
                  <w:tcW w:w="850" w:type="dxa"/>
                  <w:vMerge w:val="restart"/>
                  <w:vAlign w:val="center"/>
                </w:tcPr>
                <w:p>
                  <w:pPr>
                    <w:spacing w:line="240" w:lineRule="exact"/>
                    <w:rPr>
                      <w:rFonts w:ascii="楷体" w:hAnsi="楷体" w:eastAsia="楷体"/>
                    </w:rPr>
                  </w:pPr>
                  <w:r>
                    <w:rPr>
                      <w:rFonts w:hint="eastAsia" w:ascii="楷体" w:hAnsi="楷体" w:eastAsia="楷体"/>
                    </w:rPr>
                    <w:t>2000</w:t>
                  </w:r>
                </w:p>
              </w:tc>
              <w:tc>
                <w:tcPr>
                  <w:tcW w:w="851" w:type="dxa"/>
                  <w:vMerge w:val="restart"/>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709" w:type="dxa"/>
                  <w:vMerge w:val="restart"/>
                  <w:vAlign w:val="center"/>
                </w:tcPr>
                <w:p>
                  <w:pPr>
                    <w:spacing w:line="240" w:lineRule="exact"/>
                    <w:jc w:val="center"/>
                    <w:rPr>
                      <w:rFonts w:ascii="楷体" w:hAnsi="楷体" w:eastAsia="楷体"/>
                    </w:rPr>
                  </w:pPr>
                  <w:r>
                    <w:rPr>
                      <w:rFonts w:hint="eastAsia" w:ascii="楷体" w:hAnsi="楷体" w:eastAsia="楷体"/>
                    </w:rPr>
                    <w:t>管代</w:t>
                  </w:r>
                </w:p>
              </w:tc>
              <w:tc>
                <w:tcPr>
                  <w:tcW w:w="992" w:type="dxa"/>
                  <w:vMerge w:val="restart"/>
                  <w:vAlign w:val="center"/>
                </w:tcPr>
                <w:p>
                  <w:pPr>
                    <w:spacing w:line="240" w:lineRule="exact"/>
                    <w:jc w:val="center"/>
                    <w:rPr>
                      <w:rFonts w:ascii="楷体" w:hAnsi="楷体" w:eastAsia="楷体"/>
                    </w:rPr>
                  </w:pPr>
                  <w:r>
                    <w:rPr>
                      <w:rFonts w:hint="eastAsia" w:ascii="楷体" w:hAnsi="楷体" w:eastAsia="楷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15" w:type="dxa"/>
                  <w:vMerge w:val="continue"/>
                  <w:vAlign w:val="center"/>
                </w:tcPr>
                <w:p>
                  <w:pPr>
                    <w:spacing w:line="240" w:lineRule="exact"/>
                    <w:rPr>
                      <w:rFonts w:ascii="楷体" w:hAnsi="楷体" w:eastAsia="楷体"/>
                      <w:highlight w:val="yellow"/>
                    </w:rPr>
                  </w:pPr>
                </w:p>
              </w:tc>
              <w:tc>
                <w:tcPr>
                  <w:tcW w:w="724" w:type="dxa"/>
                  <w:vMerge w:val="continue"/>
                  <w:vAlign w:val="center"/>
                </w:tcPr>
                <w:p>
                  <w:pPr>
                    <w:spacing w:line="240" w:lineRule="exact"/>
                    <w:rPr>
                      <w:rFonts w:ascii="楷体" w:hAnsi="楷体" w:eastAsia="楷体"/>
                      <w:highlight w:val="yellow"/>
                    </w:rPr>
                  </w:pPr>
                </w:p>
              </w:tc>
              <w:tc>
                <w:tcPr>
                  <w:tcW w:w="863" w:type="dxa"/>
                  <w:vMerge w:val="continue"/>
                  <w:vAlign w:val="center"/>
                </w:tcPr>
                <w:p>
                  <w:pPr>
                    <w:spacing w:line="240" w:lineRule="exact"/>
                    <w:rPr>
                      <w:rFonts w:ascii="楷体" w:hAnsi="楷体" w:eastAsia="楷体"/>
                      <w:highlight w:val="yellow"/>
                    </w:rPr>
                  </w:pPr>
                </w:p>
              </w:tc>
              <w:tc>
                <w:tcPr>
                  <w:tcW w:w="709" w:type="dxa"/>
                  <w:vMerge w:val="continue"/>
                  <w:vAlign w:val="center"/>
                </w:tcPr>
                <w:p>
                  <w:pPr>
                    <w:spacing w:line="240" w:lineRule="exact"/>
                    <w:rPr>
                      <w:rFonts w:ascii="楷体" w:hAnsi="楷体" w:eastAsia="楷体"/>
                      <w:highlight w:val="yellow"/>
                    </w:rPr>
                  </w:pPr>
                </w:p>
              </w:tc>
              <w:tc>
                <w:tcPr>
                  <w:tcW w:w="2551" w:type="dxa"/>
                  <w:vAlign w:val="center"/>
                </w:tcPr>
                <w:p>
                  <w:pPr>
                    <w:spacing w:line="240" w:lineRule="exact"/>
                    <w:rPr>
                      <w:rFonts w:ascii="楷体" w:hAnsi="楷体" w:eastAsia="楷体"/>
                    </w:rPr>
                  </w:pPr>
                  <w:r>
                    <w:rPr>
                      <w:rFonts w:hint="eastAsia" w:ascii="楷体" w:hAnsi="楷体" w:eastAsia="楷体"/>
                    </w:rPr>
                    <w:t>2.固体废弃物及时处理</w:t>
                  </w:r>
                </w:p>
              </w:tc>
              <w:tc>
                <w:tcPr>
                  <w:tcW w:w="851" w:type="dxa"/>
                  <w:vMerge w:val="continue"/>
                  <w:vAlign w:val="center"/>
                </w:tcPr>
                <w:p>
                  <w:pPr>
                    <w:spacing w:line="240" w:lineRule="exact"/>
                    <w:rPr>
                      <w:rFonts w:ascii="楷体" w:hAnsi="楷体" w:eastAsia="楷体"/>
                      <w:highlight w:val="yellow"/>
                    </w:rPr>
                  </w:pP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bl>
          <w:p>
            <w:pPr>
              <w:spacing w:line="360" w:lineRule="auto"/>
              <w:rPr>
                <w:rFonts w:ascii="楷体" w:hAnsi="楷体" w:eastAsia="楷体"/>
                <w:sz w:val="24"/>
                <w:szCs w:val="24"/>
              </w:rPr>
            </w:pPr>
            <w:r>
              <w:rPr>
                <w:rFonts w:hint="eastAsia" w:ascii="楷体" w:hAnsi="楷体" w:eastAsia="楷体"/>
                <w:sz w:val="24"/>
                <w:szCs w:val="24"/>
              </w:rPr>
              <w:t>措施在实施中，有效。</w:t>
            </w:r>
          </w:p>
          <w:p>
            <w:pPr>
              <w:spacing w:line="360" w:lineRule="auto"/>
              <w:rPr>
                <w:rFonts w:ascii="楷体" w:hAnsi="楷体" w:eastAsia="楷体"/>
                <w:sz w:val="24"/>
                <w:szCs w:val="24"/>
              </w:rPr>
            </w:pPr>
            <w:r>
              <w:rPr>
                <w:rFonts w:hint="eastAsia" w:ascii="楷体" w:hAnsi="楷体" w:eastAsia="楷体"/>
                <w:sz w:val="24"/>
                <w:szCs w:val="24"/>
              </w:rPr>
              <w:t>抽健康安全环境管理方案，明确了措施、责任人、时间、资金投入要求：</w:t>
            </w:r>
          </w:p>
          <w:tbl>
            <w:tblPr>
              <w:tblStyle w:val="6"/>
              <w:tblW w:w="9685" w:type="dxa"/>
              <w:tblInd w:w="0" w:type="dxa"/>
              <w:tblLayout w:type="fixed"/>
              <w:tblCellMar>
                <w:top w:w="0" w:type="dxa"/>
                <w:left w:w="108" w:type="dxa"/>
                <w:bottom w:w="0" w:type="dxa"/>
                <w:right w:w="108" w:type="dxa"/>
              </w:tblCellMar>
            </w:tblPr>
            <w:tblGrid>
              <w:gridCol w:w="548"/>
              <w:gridCol w:w="932"/>
              <w:gridCol w:w="1344"/>
              <w:gridCol w:w="3685"/>
              <w:gridCol w:w="851"/>
              <w:gridCol w:w="709"/>
              <w:gridCol w:w="850"/>
              <w:gridCol w:w="766"/>
            </w:tblGrid>
            <w:tr>
              <w:tblPrEx>
                <w:tblCellMar>
                  <w:top w:w="0" w:type="dxa"/>
                  <w:left w:w="108" w:type="dxa"/>
                  <w:bottom w:w="0" w:type="dxa"/>
                  <w:right w:w="108" w:type="dxa"/>
                </w:tblCellMar>
              </w:tblPrEx>
              <w:trPr>
                <w:trHeight w:val="340" w:hRule="atLeast"/>
              </w:trPr>
              <w:tc>
                <w:tcPr>
                  <w:tcW w:w="548" w:type="dxa"/>
                  <w:tcBorders>
                    <w:top w:val="single" w:color="auto" w:sz="8" w:space="0"/>
                    <w:left w:val="single" w:color="auto" w:sz="8"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序号</w:t>
                  </w:r>
                </w:p>
              </w:tc>
              <w:tc>
                <w:tcPr>
                  <w:tcW w:w="932" w:type="dxa"/>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主要风险</w:t>
                  </w:r>
                </w:p>
              </w:tc>
              <w:tc>
                <w:tcPr>
                  <w:tcW w:w="1344" w:type="dxa"/>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目标指标</w:t>
                  </w:r>
                </w:p>
              </w:tc>
              <w:tc>
                <w:tcPr>
                  <w:tcW w:w="3685" w:type="dxa"/>
                  <w:tcBorders>
                    <w:top w:val="single" w:color="auto" w:sz="8" w:space="0"/>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管理方案及措施</w:t>
                  </w:r>
                </w:p>
              </w:tc>
              <w:tc>
                <w:tcPr>
                  <w:tcW w:w="851" w:type="dxa"/>
                  <w:tcBorders>
                    <w:top w:val="single" w:color="auto" w:sz="8" w:space="0"/>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责任部门</w:t>
                  </w:r>
                </w:p>
              </w:tc>
              <w:tc>
                <w:tcPr>
                  <w:tcW w:w="709" w:type="dxa"/>
                  <w:tcBorders>
                    <w:top w:val="single" w:color="auto" w:sz="8" w:space="0"/>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时间</w:t>
                  </w:r>
                </w:p>
              </w:tc>
              <w:tc>
                <w:tcPr>
                  <w:tcW w:w="850" w:type="dxa"/>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预算资金（元）</w:t>
                  </w:r>
                </w:p>
              </w:tc>
              <w:tc>
                <w:tcPr>
                  <w:tcW w:w="766" w:type="dxa"/>
                  <w:tcBorders>
                    <w:top w:val="single" w:color="auto" w:sz="8" w:space="0"/>
                    <w:left w:val="single" w:color="auto" w:sz="4" w:space="0"/>
                    <w:bottom w:val="single" w:color="000000" w:sz="8" w:space="0"/>
                    <w:right w:val="single" w:color="auto" w:sz="8" w:space="0"/>
                  </w:tcBorders>
                  <w:vAlign w:val="center"/>
                </w:tcPr>
                <w:p>
                  <w:pPr>
                    <w:spacing w:line="240" w:lineRule="exact"/>
                    <w:jc w:val="center"/>
                    <w:rPr>
                      <w:rFonts w:ascii="楷体" w:hAnsi="楷体" w:eastAsia="楷体"/>
                    </w:rPr>
                  </w:pPr>
                  <w:r>
                    <w:rPr>
                      <w:rFonts w:hint="eastAsia" w:ascii="楷体" w:hAnsi="楷体" w:eastAsia="楷体"/>
                    </w:rPr>
                    <w:t>检查部门</w:t>
                  </w:r>
                </w:p>
              </w:tc>
            </w:tr>
            <w:tr>
              <w:tblPrEx>
                <w:tblCellMar>
                  <w:top w:w="0" w:type="dxa"/>
                  <w:left w:w="108" w:type="dxa"/>
                  <w:bottom w:w="0" w:type="dxa"/>
                  <w:right w:w="108" w:type="dxa"/>
                </w:tblCellMar>
              </w:tblPrEx>
              <w:trPr>
                <w:trHeight w:val="1113" w:hRule="atLeast"/>
              </w:trPr>
              <w:tc>
                <w:tcPr>
                  <w:tcW w:w="548" w:type="dxa"/>
                  <w:tcBorders>
                    <w:top w:val="nil"/>
                    <w:left w:val="single" w:color="auto" w:sz="8" w:space="0"/>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1</w:t>
                  </w:r>
                </w:p>
              </w:tc>
              <w:tc>
                <w:tcPr>
                  <w:tcW w:w="932"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火灾</w:t>
                  </w:r>
                </w:p>
              </w:tc>
              <w:tc>
                <w:tcPr>
                  <w:tcW w:w="1344"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杜绝火灾事故</w:t>
                  </w:r>
                </w:p>
              </w:tc>
              <w:tc>
                <w:tcPr>
                  <w:tcW w:w="3685"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1 根据实际需要，补充配置消防灭火器，定期检查</w:t>
                  </w:r>
                </w:p>
                <w:p>
                  <w:pPr>
                    <w:spacing w:line="240" w:lineRule="exact"/>
                    <w:rPr>
                      <w:rFonts w:ascii="楷体" w:hAnsi="楷体" w:eastAsia="楷体"/>
                    </w:rPr>
                  </w:pPr>
                  <w:r>
                    <w:rPr>
                      <w:rFonts w:hint="eastAsia" w:ascii="楷体" w:hAnsi="楷体" w:eastAsia="楷体"/>
                    </w:rPr>
                    <w:t>2制订火灾应急预案，定期评审，每年组织进行一次消防演习。</w:t>
                  </w:r>
                </w:p>
                <w:p>
                  <w:pPr>
                    <w:spacing w:line="240" w:lineRule="exact"/>
                    <w:rPr>
                      <w:rFonts w:ascii="楷体" w:hAnsi="楷体" w:eastAsia="楷体"/>
                    </w:rPr>
                  </w:pPr>
                  <w:r>
                    <w:rPr>
                      <w:rFonts w:hint="eastAsia" w:ascii="楷体" w:hAnsi="楷体" w:eastAsia="楷体"/>
                    </w:rPr>
                    <w:t>3组织员工安全知识培训，提高员工安全意识</w:t>
                  </w:r>
                </w:p>
                <w:p>
                  <w:pPr>
                    <w:spacing w:line="240" w:lineRule="exact"/>
                    <w:rPr>
                      <w:rFonts w:ascii="楷体" w:hAnsi="楷体" w:eastAsia="楷体"/>
                    </w:rPr>
                  </w:pPr>
                  <w:r>
                    <w:rPr>
                      <w:rFonts w:hint="eastAsia" w:ascii="楷体" w:hAnsi="楷体" w:eastAsia="楷体"/>
                    </w:rPr>
                    <w:t>4制定仓库管理制度</w:t>
                  </w:r>
                </w:p>
              </w:tc>
              <w:tc>
                <w:tcPr>
                  <w:tcW w:w="851" w:type="dxa"/>
                  <w:tcBorders>
                    <w:top w:val="single" w:color="auto" w:sz="4" w:space="0"/>
                    <w:left w:val="nil"/>
                    <w:bottom w:val="single" w:color="auto" w:sz="4" w:space="0"/>
                    <w:right w:val="single" w:color="auto" w:sz="4" w:space="0"/>
                  </w:tcBorders>
                </w:tcPr>
                <w:p>
                  <w:pPr>
                    <w:spacing w:line="240" w:lineRule="exact"/>
                    <w:rPr>
                      <w:rFonts w:ascii="楷体" w:hAnsi="楷体" w:eastAsia="楷体"/>
                    </w:rPr>
                  </w:pPr>
                  <w:r>
                    <w:rPr>
                      <w:rFonts w:hint="eastAsia" w:ascii="楷体" w:hAnsi="楷体" w:eastAsia="楷体"/>
                    </w:rPr>
                    <w:t>行政部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行政部/生产部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行政部</w:t>
                  </w:r>
                </w:p>
                <w:p>
                  <w:pPr>
                    <w:spacing w:line="240" w:lineRule="exact"/>
                    <w:rPr>
                      <w:rFonts w:ascii="楷体" w:hAnsi="楷体" w:eastAsia="楷体"/>
                    </w:rPr>
                  </w:pPr>
                  <w:r>
                    <w:rPr>
                      <w:rFonts w:hint="eastAsia" w:ascii="楷体" w:hAnsi="楷体" w:eastAsia="楷体"/>
                    </w:rPr>
                    <w:t>生产部</w:t>
                  </w:r>
                </w:p>
              </w:tc>
              <w:tc>
                <w:tcPr>
                  <w:tcW w:w="709"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p>
                  <w:pPr>
                    <w:spacing w:line="240" w:lineRule="exact"/>
                    <w:rPr>
                      <w:rFonts w:ascii="楷体" w:hAnsi="楷体" w:eastAsia="楷体"/>
                    </w:rPr>
                  </w:pPr>
                </w:p>
              </w:tc>
              <w:tc>
                <w:tcPr>
                  <w:tcW w:w="850" w:type="dxa"/>
                  <w:tcBorders>
                    <w:top w:val="nil"/>
                    <w:left w:val="nil"/>
                    <w:bottom w:val="single" w:color="auto" w:sz="4" w:space="0"/>
                    <w:right w:val="nil"/>
                  </w:tcBorders>
                  <w:vAlign w:val="center"/>
                </w:tcPr>
                <w:p>
                  <w:pPr>
                    <w:spacing w:line="240" w:lineRule="exact"/>
                    <w:rPr>
                      <w:rFonts w:ascii="楷体" w:hAnsi="楷体" w:eastAsia="楷体"/>
                    </w:rPr>
                  </w:pPr>
                  <w:r>
                    <w:rPr>
                      <w:rFonts w:hint="eastAsia" w:ascii="楷体" w:hAnsi="楷体" w:eastAsia="楷体"/>
                    </w:rPr>
                    <w:t>4000</w:t>
                  </w:r>
                </w:p>
              </w:tc>
              <w:tc>
                <w:tcPr>
                  <w:tcW w:w="766" w:type="dxa"/>
                  <w:tcBorders>
                    <w:top w:val="nil"/>
                    <w:left w:val="single" w:color="auto" w:sz="4" w:space="0"/>
                    <w:bottom w:val="single" w:color="auto" w:sz="4" w:space="0"/>
                    <w:right w:val="single" w:color="auto" w:sz="8" w:space="0"/>
                  </w:tcBorders>
                  <w:vAlign w:val="center"/>
                </w:tcPr>
                <w:p>
                  <w:pPr>
                    <w:spacing w:line="240" w:lineRule="exact"/>
                    <w:rPr>
                      <w:rFonts w:ascii="楷体" w:hAnsi="楷体" w:eastAsia="楷体"/>
                    </w:rPr>
                  </w:pPr>
                  <w:r>
                    <w:rPr>
                      <w:rFonts w:hint="eastAsia" w:ascii="楷体" w:hAnsi="楷体" w:eastAsia="楷体"/>
                    </w:rPr>
                    <w:t>管代</w:t>
                  </w:r>
                </w:p>
              </w:tc>
            </w:tr>
            <w:tr>
              <w:tblPrEx>
                <w:tblCellMar>
                  <w:top w:w="0" w:type="dxa"/>
                  <w:left w:w="108" w:type="dxa"/>
                  <w:bottom w:w="0" w:type="dxa"/>
                  <w:right w:w="108" w:type="dxa"/>
                </w:tblCellMar>
              </w:tblPrEx>
              <w:trPr>
                <w:trHeight w:val="983" w:hRule="atLeast"/>
              </w:trPr>
              <w:tc>
                <w:tcPr>
                  <w:tcW w:w="548" w:type="dxa"/>
                  <w:tcBorders>
                    <w:top w:val="nil"/>
                    <w:left w:val="single" w:color="auto" w:sz="8" w:space="0"/>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2</w:t>
                  </w:r>
                </w:p>
              </w:tc>
              <w:tc>
                <w:tcPr>
                  <w:tcW w:w="932"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机械伤害</w:t>
                  </w:r>
                </w:p>
              </w:tc>
              <w:tc>
                <w:tcPr>
                  <w:tcW w:w="1344"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杜绝人身死亡、重伤事故，轻伤控制在1‰以内</w:t>
                  </w:r>
                </w:p>
              </w:tc>
              <w:tc>
                <w:tcPr>
                  <w:tcW w:w="3685" w:type="dxa"/>
                  <w:tcBorders>
                    <w:top w:val="nil"/>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1、确定需发放个人防护用品的岗位、数量，并对所有个人防护用品进行检查，找出不符合要求的防护用品的数量、种类。</w:t>
                  </w:r>
                </w:p>
                <w:p>
                  <w:pPr>
                    <w:spacing w:line="240" w:lineRule="exact"/>
                    <w:rPr>
                      <w:rFonts w:ascii="楷体" w:hAnsi="楷体" w:eastAsia="楷体"/>
                    </w:rPr>
                  </w:pPr>
                  <w:r>
                    <w:rPr>
                      <w:rFonts w:hint="eastAsia" w:ascii="楷体" w:hAnsi="楷体" w:eastAsia="楷体"/>
                    </w:rPr>
                    <w:t>2、完善安全操作和检修规程。</w:t>
                  </w:r>
                </w:p>
                <w:p>
                  <w:pPr>
                    <w:spacing w:line="240" w:lineRule="exact"/>
                    <w:rPr>
                      <w:rFonts w:ascii="楷体" w:hAnsi="楷体" w:eastAsia="楷体"/>
                    </w:rPr>
                  </w:pPr>
                  <w:r>
                    <w:rPr>
                      <w:rFonts w:hint="eastAsia" w:ascii="楷体" w:hAnsi="楷体" w:eastAsia="楷体"/>
                    </w:rPr>
                    <w:t>3、对人员进行培训，提高安全知识和安全意识。</w:t>
                  </w:r>
                </w:p>
                <w:p>
                  <w:pPr>
                    <w:spacing w:line="240" w:lineRule="exact"/>
                    <w:rPr>
                      <w:rFonts w:ascii="楷体" w:hAnsi="楷体" w:eastAsia="楷体"/>
                    </w:rPr>
                  </w:pPr>
                  <w:r>
                    <w:rPr>
                      <w:rFonts w:hint="eastAsia" w:ascii="楷体" w:hAnsi="楷体" w:eastAsia="楷体"/>
                    </w:rPr>
                    <w:t>4、检查设备防护罩等安全措施是否齐全。并完善</w:t>
                  </w:r>
                </w:p>
              </w:tc>
              <w:tc>
                <w:tcPr>
                  <w:tcW w:w="851" w:type="dxa"/>
                  <w:tcBorders>
                    <w:top w:val="nil"/>
                    <w:left w:val="nil"/>
                    <w:bottom w:val="single" w:color="auto" w:sz="4" w:space="0"/>
                    <w:right w:val="single" w:color="auto" w:sz="4" w:space="0"/>
                  </w:tcBorders>
                </w:tcPr>
                <w:p>
                  <w:pPr>
                    <w:spacing w:line="240" w:lineRule="exact"/>
                    <w:rPr>
                      <w:rFonts w:ascii="楷体" w:hAnsi="楷体" w:eastAsia="楷体"/>
                    </w:rPr>
                  </w:pPr>
                  <w:r>
                    <w:rPr>
                      <w:rFonts w:hint="eastAsia" w:ascii="楷体" w:hAnsi="楷体" w:eastAsia="楷体"/>
                    </w:rPr>
                    <w:t>行政部/生产部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生产部</w:t>
                  </w:r>
                </w:p>
                <w:p>
                  <w:pPr>
                    <w:spacing w:line="240" w:lineRule="exact"/>
                    <w:rPr>
                      <w:rFonts w:ascii="楷体" w:hAnsi="楷体" w:eastAsia="楷体"/>
                    </w:rPr>
                  </w:pPr>
                  <w:r>
                    <w:rPr>
                      <w:rFonts w:hint="eastAsia" w:ascii="楷体" w:hAnsi="楷体" w:eastAsia="楷体"/>
                    </w:rPr>
                    <w:t>行政部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生产部</w:t>
                  </w:r>
                </w:p>
              </w:tc>
              <w:tc>
                <w:tcPr>
                  <w:tcW w:w="709"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850" w:type="dxa"/>
                  <w:tcBorders>
                    <w:top w:val="nil"/>
                    <w:left w:val="nil"/>
                    <w:bottom w:val="single" w:color="auto" w:sz="4" w:space="0"/>
                    <w:right w:val="nil"/>
                  </w:tcBorders>
                  <w:vAlign w:val="center"/>
                </w:tcPr>
                <w:p>
                  <w:pPr>
                    <w:spacing w:line="240" w:lineRule="exact"/>
                    <w:rPr>
                      <w:rFonts w:ascii="楷体" w:hAnsi="楷体" w:eastAsia="楷体"/>
                    </w:rPr>
                  </w:pPr>
                  <w:r>
                    <w:rPr>
                      <w:rFonts w:hint="eastAsia" w:ascii="楷体" w:hAnsi="楷体" w:eastAsia="楷体"/>
                    </w:rPr>
                    <w:t>15000</w:t>
                  </w:r>
                </w:p>
              </w:tc>
              <w:tc>
                <w:tcPr>
                  <w:tcW w:w="766" w:type="dxa"/>
                  <w:tcBorders>
                    <w:top w:val="nil"/>
                    <w:left w:val="single" w:color="auto" w:sz="4" w:space="0"/>
                    <w:bottom w:val="single" w:color="auto" w:sz="4" w:space="0"/>
                    <w:right w:val="single" w:color="auto" w:sz="8" w:space="0"/>
                  </w:tcBorders>
                  <w:vAlign w:val="center"/>
                </w:tcPr>
                <w:p>
                  <w:pPr>
                    <w:spacing w:line="240" w:lineRule="exact"/>
                    <w:rPr>
                      <w:rFonts w:ascii="楷体" w:hAnsi="楷体" w:eastAsia="楷体"/>
                    </w:rPr>
                  </w:pPr>
                  <w:r>
                    <w:rPr>
                      <w:rFonts w:hint="eastAsia" w:ascii="楷体" w:hAnsi="楷体" w:eastAsia="楷体"/>
                    </w:rPr>
                    <w:t>管代</w:t>
                  </w:r>
                </w:p>
              </w:tc>
            </w:tr>
            <w:tr>
              <w:tblPrEx>
                <w:tblCellMar>
                  <w:top w:w="0" w:type="dxa"/>
                  <w:left w:w="108" w:type="dxa"/>
                  <w:bottom w:w="0" w:type="dxa"/>
                  <w:right w:w="108" w:type="dxa"/>
                </w:tblCellMar>
              </w:tblPrEx>
              <w:trPr>
                <w:trHeight w:val="1175" w:hRule="atLeast"/>
              </w:trPr>
              <w:tc>
                <w:tcPr>
                  <w:tcW w:w="548" w:type="dxa"/>
                  <w:tcBorders>
                    <w:top w:val="nil"/>
                    <w:left w:val="single" w:color="auto" w:sz="8" w:space="0"/>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3</w:t>
                  </w:r>
                </w:p>
              </w:tc>
              <w:tc>
                <w:tcPr>
                  <w:tcW w:w="932"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无职业病发生</w:t>
                  </w:r>
                </w:p>
              </w:tc>
              <w:tc>
                <w:tcPr>
                  <w:tcW w:w="1344"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职业病发生率0</w:t>
                  </w:r>
                </w:p>
              </w:tc>
              <w:tc>
                <w:tcPr>
                  <w:tcW w:w="3685" w:type="dxa"/>
                  <w:tcBorders>
                    <w:top w:val="nil"/>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主要作业岗位配齐劳保用品</w:t>
                  </w:r>
                </w:p>
                <w:p>
                  <w:pPr>
                    <w:spacing w:line="240" w:lineRule="exact"/>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对作业人员进行培训，提高职业健康安全知识和意识。</w:t>
                  </w:r>
                </w:p>
                <w:p>
                  <w:pPr>
                    <w:spacing w:line="240" w:lineRule="exact"/>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定期体检</w:t>
                  </w:r>
                </w:p>
              </w:tc>
              <w:tc>
                <w:tcPr>
                  <w:tcW w:w="851" w:type="dxa"/>
                  <w:tcBorders>
                    <w:top w:val="nil"/>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行政部/生产部</w:t>
                  </w:r>
                </w:p>
                <w:p>
                  <w:pPr>
                    <w:spacing w:line="240" w:lineRule="exact"/>
                    <w:rPr>
                      <w:rFonts w:ascii="楷体" w:hAnsi="楷体" w:eastAsia="楷体"/>
                    </w:rPr>
                  </w:pPr>
                </w:p>
              </w:tc>
              <w:tc>
                <w:tcPr>
                  <w:tcW w:w="709"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850" w:type="dxa"/>
                  <w:tcBorders>
                    <w:top w:val="nil"/>
                    <w:left w:val="nil"/>
                    <w:bottom w:val="single" w:color="auto" w:sz="4" w:space="0"/>
                    <w:right w:val="nil"/>
                  </w:tcBorders>
                  <w:vAlign w:val="center"/>
                </w:tcPr>
                <w:p>
                  <w:pPr>
                    <w:spacing w:line="240" w:lineRule="exact"/>
                    <w:rPr>
                      <w:rFonts w:ascii="楷体" w:hAnsi="楷体" w:eastAsia="楷体"/>
                    </w:rPr>
                  </w:pPr>
                  <w:r>
                    <w:rPr>
                      <w:rFonts w:hint="eastAsia" w:ascii="楷体" w:hAnsi="楷体" w:eastAsia="楷体"/>
                    </w:rPr>
                    <w:t>5000</w:t>
                  </w:r>
                </w:p>
              </w:tc>
              <w:tc>
                <w:tcPr>
                  <w:tcW w:w="766" w:type="dxa"/>
                  <w:tcBorders>
                    <w:top w:val="nil"/>
                    <w:left w:val="single" w:color="auto" w:sz="4" w:space="0"/>
                    <w:bottom w:val="single" w:color="auto" w:sz="4" w:space="0"/>
                    <w:right w:val="single" w:color="auto" w:sz="8" w:space="0"/>
                  </w:tcBorders>
                  <w:vAlign w:val="center"/>
                </w:tcPr>
                <w:p>
                  <w:pPr>
                    <w:spacing w:line="240" w:lineRule="exact"/>
                    <w:rPr>
                      <w:rFonts w:ascii="楷体" w:hAnsi="楷体" w:eastAsia="楷体"/>
                    </w:rPr>
                  </w:pPr>
                  <w:r>
                    <w:rPr>
                      <w:rFonts w:hint="eastAsia" w:ascii="楷体" w:hAnsi="楷体" w:eastAsia="楷体"/>
                    </w:rPr>
                    <w:t>管代</w:t>
                  </w:r>
                </w:p>
              </w:tc>
            </w:tr>
          </w:tbl>
          <w:p>
            <w:pPr>
              <w:spacing w:line="360" w:lineRule="auto"/>
              <w:rPr>
                <w:rFonts w:hint="eastAsia" w:ascii="楷体" w:hAnsi="楷体" w:eastAsia="楷体"/>
                <w:sz w:val="24"/>
                <w:szCs w:val="24"/>
              </w:rPr>
            </w:pPr>
            <w:r>
              <w:rPr>
                <w:rFonts w:hint="eastAsia" w:ascii="楷体" w:hAnsi="楷体" w:eastAsia="楷体"/>
                <w:sz w:val="24"/>
                <w:szCs w:val="24"/>
              </w:rPr>
              <w:t>措施在实施中，有效。</w:t>
            </w:r>
          </w:p>
          <w:p>
            <w:pPr>
              <w:spacing w:line="360" w:lineRule="auto"/>
              <w:rPr>
                <w:rFonts w:hint="eastAsia" w:ascii="楷体" w:hAnsi="楷体" w:eastAsia="楷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0004" w:type="dxa"/>
          </w:tcPr>
          <w:p>
            <w:pPr>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rPr>
              <w:t>公司主要从事弹簧软体床垫、软体床、软体沙发的生产，生产工艺流程为：</w:t>
            </w:r>
          </w:p>
          <w:p>
            <w:pPr>
              <w:spacing w:line="480" w:lineRule="exact"/>
              <w:ind w:right="-6"/>
              <w:rPr>
                <w:rFonts w:ascii="楷体" w:hAnsi="楷体" w:eastAsia="楷体"/>
                <w:sz w:val="24"/>
                <w:szCs w:val="24"/>
              </w:rPr>
            </w:pPr>
            <w:r>
              <w:rPr>
                <w:rFonts w:hint="eastAsia" w:ascii="楷体" w:hAnsi="楷体" w:eastAsia="楷体"/>
                <w:sz w:val="24"/>
                <w:szCs w:val="24"/>
              </w:rPr>
              <w:t>（1）床垫生产流程</w:t>
            </w:r>
          </w:p>
          <w:p>
            <w:pPr>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串簧—打钢边—打棉粘—套面料— 围边—包装— 检验—入库</w:t>
            </w:r>
          </w:p>
          <w:p>
            <w:pPr>
              <w:spacing w:line="480" w:lineRule="exact"/>
              <w:ind w:right="-6"/>
              <w:rPr>
                <w:rFonts w:ascii="楷体" w:hAnsi="楷体" w:eastAsia="楷体"/>
                <w:sz w:val="24"/>
                <w:szCs w:val="24"/>
              </w:rPr>
            </w:pPr>
            <w:r>
              <w:rPr>
                <w:rFonts w:hint="eastAsia" w:ascii="楷体" w:hAnsi="楷体" w:eastAsia="楷体"/>
                <w:sz w:val="24"/>
                <w:szCs w:val="24"/>
              </w:rPr>
              <w:t>（2）软体床、软体沙发生产流程</w:t>
            </w:r>
          </w:p>
          <w:p>
            <w:pPr>
              <w:spacing w:line="360" w:lineRule="auto"/>
              <w:ind w:firstLine="480" w:firstLineChars="200"/>
              <w:rPr>
                <w:rFonts w:hint="eastAsia" w:ascii="宋体" w:hAnsi="宋体"/>
                <w:color w:val="FF0000"/>
                <w:sz w:val="24"/>
                <w:lang w:val="zh-CN"/>
              </w:rPr>
            </w:pPr>
            <w:r>
              <w:rPr>
                <w:rFonts w:hint="eastAsia" w:ascii="楷体" w:hAnsi="楷体" w:eastAsia="楷体" w:cs="楷体"/>
                <w:color w:val="auto"/>
                <w:sz w:val="24"/>
                <w:lang w:val="zh-CN"/>
              </w:rPr>
              <w:t>开料</w:t>
            </w:r>
            <w:r>
              <w:rPr>
                <w:rFonts w:hint="eastAsia" w:ascii="楷体" w:hAnsi="楷体" w:eastAsia="楷体" w:cs="楷体"/>
                <w:color w:val="auto"/>
                <w:sz w:val="24"/>
              </w:rPr>
              <w:t>—</w:t>
            </w:r>
            <w:r>
              <w:rPr>
                <w:rFonts w:hint="eastAsia" w:ascii="楷体" w:hAnsi="楷体" w:eastAsia="楷体" w:cs="楷体"/>
                <w:color w:val="auto"/>
                <w:sz w:val="24"/>
                <w:lang w:val="zh-CN"/>
              </w:rPr>
              <w:t>钉架</w:t>
            </w:r>
            <w:r>
              <w:rPr>
                <w:rFonts w:hint="eastAsia" w:ascii="楷体" w:hAnsi="楷体" w:eastAsia="楷体" w:cs="楷体"/>
                <w:color w:val="auto"/>
                <w:sz w:val="24"/>
              </w:rPr>
              <w:t>—</w:t>
            </w:r>
            <w:r>
              <w:rPr>
                <w:rFonts w:hint="eastAsia" w:ascii="楷体" w:hAnsi="楷体" w:eastAsia="楷体" w:cs="楷体"/>
                <w:color w:val="auto"/>
                <w:sz w:val="24"/>
                <w:lang w:val="zh-CN"/>
              </w:rPr>
              <w:t>开棉</w:t>
            </w:r>
            <w:r>
              <w:rPr>
                <w:rFonts w:hint="eastAsia" w:ascii="楷体" w:hAnsi="楷体" w:eastAsia="楷体" w:cs="楷体"/>
                <w:color w:val="auto"/>
                <w:sz w:val="24"/>
              </w:rPr>
              <w:t>—</w:t>
            </w:r>
            <w:r>
              <w:rPr>
                <w:rFonts w:hint="eastAsia" w:ascii="楷体" w:hAnsi="楷体" w:eastAsia="楷体" w:cs="楷体"/>
                <w:color w:val="auto"/>
                <w:sz w:val="24"/>
                <w:lang w:val="zh-CN"/>
              </w:rPr>
              <w:t>打底</w:t>
            </w:r>
            <w:r>
              <w:rPr>
                <w:rFonts w:hint="eastAsia" w:ascii="楷体" w:hAnsi="楷体" w:eastAsia="楷体" w:cs="楷体"/>
                <w:color w:val="auto"/>
                <w:sz w:val="24"/>
              </w:rPr>
              <w:t>—</w:t>
            </w:r>
            <w:r>
              <w:rPr>
                <w:rFonts w:hint="eastAsia" w:ascii="楷体" w:hAnsi="楷体" w:eastAsia="楷体" w:cs="楷体"/>
                <w:color w:val="auto"/>
                <w:sz w:val="24"/>
                <w:lang w:val="zh-CN"/>
              </w:rPr>
              <w:t>裁皮</w:t>
            </w:r>
            <w:r>
              <w:rPr>
                <w:rFonts w:hint="eastAsia" w:ascii="楷体" w:hAnsi="楷体" w:eastAsia="楷体" w:cs="楷体"/>
                <w:color w:val="auto"/>
                <w:sz w:val="24"/>
              </w:rPr>
              <w:t>—</w:t>
            </w:r>
            <w:r>
              <w:rPr>
                <w:rFonts w:hint="eastAsia" w:ascii="楷体" w:hAnsi="楷体" w:eastAsia="楷体" w:cs="楷体"/>
                <w:color w:val="auto"/>
                <w:sz w:val="24"/>
                <w:lang w:val="zh-CN"/>
              </w:rPr>
              <w:t>车皮</w:t>
            </w:r>
            <w:r>
              <w:rPr>
                <w:rFonts w:hint="eastAsia" w:ascii="楷体" w:hAnsi="楷体" w:eastAsia="楷体" w:cs="楷体"/>
                <w:color w:val="auto"/>
                <w:sz w:val="24"/>
              </w:rPr>
              <w:t>—</w:t>
            </w:r>
            <w:r>
              <w:rPr>
                <w:rFonts w:hint="eastAsia" w:ascii="楷体" w:hAnsi="楷体" w:eastAsia="楷体" w:cs="楷体"/>
                <w:color w:val="auto"/>
                <w:sz w:val="24"/>
                <w:lang w:val="zh-CN"/>
              </w:rPr>
              <w:t>扪皮</w:t>
            </w:r>
            <w:r>
              <w:rPr>
                <w:rFonts w:hint="eastAsia" w:ascii="楷体" w:hAnsi="楷体" w:eastAsia="楷体" w:cs="楷体"/>
                <w:color w:val="auto"/>
                <w:sz w:val="24"/>
              </w:rPr>
              <w:t>—</w:t>
            </w:r>
            <w:r>
              <w:rPr>
                <w:rFonts w:hint="eastAsia" w:ascii="楷体" w:hAnsi="楷体" w:eastAsia="楷体" w:cs="楷体"/>
                <w:color w:val="auto"/>
                <w:sz w:val="24"/>
                <w:lang w:val="zh-CN"/>
              </w:rPr>
              <w:t>安装</w:t>
            </w:r>
            <w:r>
              <w:rPr>
                <w:rFonts w:hint="eastAsia" w:ascii="楷体" w:hAnsi="楷体" w:eastAsia="楷体" w:cs="楷体"/>
                <w:color w:val="auto"/>
                <w:sz w:val="24"/>
              </w:rPr>
              <w:t>—</w:t>
            </w:r>
            <w:r>
              <w:rPr>
                <w:rFonts w:hint="eastAsia" w:ascii="楷体" w:hAnsi="楷体" w:eastAsia="楷体" w:cs="楷体"/>
                <w:color w:val="auto"/>
                <w:sz w:val="24"/>
                <w:lang w:val="zh-CN"/>
              </w:rPr>
              <w:t>包装</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经确认无需确认的过程。</w:t>
            </w:r>
          </w:p>
          <w:p>
            <w:pPr>
              <w:tabs>
                <w:tab w:val="left" w:pos="840"/>
              </w:tabs>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明确了质量目标和相关的产品特性要求：产品一次交检合格率98%以上；产品出厂合格率100%；顾客满意度96分以上，根据客户技术要求进行生产和服务的提供。</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公司主要是按照客户提出的要求</w:t>
            </w:r>
            <w:r>
              <w:rPr>
                <w:rFonts w:hint="eastAsia" w:ascii="楷体" w:hAnsi="楷体" w:eastAsia="楷体"/>
                <w:sz w:val="24"/>
                <w:szCs w:val="24"/>
              </w:rPr>
              <w:t>、图样、样品</w:t>
            </w:r>
            <w:r>
              <w:rPr>
                <w:rFonts w:hint="eastAsia" w:ascii="楷体" w:hAnsi="楷体" w:eastAsia="楷体" w:cs="Arial"/>
                <w:bCs/>
                <w:sz w:val="24"/>
                <w:szCs w:val="24"/>
              </w:rPr>
              <w:t>进行生产，企业参考的国家和行业标准</w:t>
            </w:r>
            <w:r>
              <w:rPr>
                <w:rFonts w:hint="eastAsia" w:ascii="楷体" w:hAnsi="楷体" w:eastAsia="楷体"/>
                <w:sz w:val="24"/>
                <w:szCs w:val="24"/>
              </w:rPr>
              <w:t>主要是《QB1952.2-2011软体家具 弹簧软床垫》、《</w:t>
            </w:r>
            <w:r>
              <w:rPr>
                <w:rFonts w:ascii="楷体" w:hAnsi="楷体" w:eastAsia="楷体"/>
                <w:sz w:val="24"/>
                <w:szCs w:val="24"/>
              </w:rPr>
              <w:t>QB/T</w:t>
            </w:r>
            <w:r>
              <w:rPr>
                <w:rFonts w:hint="eastAsia" w:ascii="楷体" w:hAnsi="楷体" w:eastAsia="楷体"/>
                <w:sz w:val="24"/>
                <w:szCs w:val="24"/>
              </w:rPr>
              <w:t>1</w:t>
            </w:r>
            <w:r>
              <w:rPr>
                <w:rFonts w:ascii="楷体" w:hAnsi="楷体" w:eastAsia="楷体"/>
                <w:sz w:val="24"/>
                <w:szCs w:val="24"/>
              </w:rPr>
              <w:t>952.1-20</w:t>
            </w:r>
            <w:r>
              <w:rPr>
                <w:rFonts w:hint="eastAsia" w:ascii="楷体" w:hAnsi="楷体" w:eastAsia="楷体"/>
                <w:sz w:val="24"/>
                <w:szCs w:val="24"/>
              </w:rPr>
              <w:t>12软体家具 沙发》、《QB/T4190-2011软体床》，编制了《生产作业指导书》、《产品检验作业指</w:t>
            </w:r>
            <w:r>
              <w:rPr>
                <w:rFonts w:hint="eastAsia" w:ascii="楷体" w:hAnsi="楷体" w:eastAsia="楷体" w:cs="Arial"/>
                <w:bCs/>
                <w:sz w:val="24"/>
                <w:szCs w:val="24"/>
              </w:rPr>
              <w:t>导书》等指导产品生产和确定产品的接收；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生产设备：</w:t>
            </w:r>
            <w:r>
              <w:rPr>
                <w:rFonts w:hint="eastAsia" w:ascii="楷体" w:hAnsi="楷体" w:eastAsia="楷体"/>
                <w:sz w:val="24"/>
                <w:szCs w:val="24"/>
              </w:rPr>
              <w:t>床垫封边机、串网机、五线锁边机、双针缝纫机、空气压缩机、气罐、裥棉机、长臂床垫商标车、支力簧机、床垫打簧机、田牌四角气动弯边框机、JB23/16开式可倾压力机、全自动压缩包装机、推台锯、带锯</w:t>
            </w:r>
            <w:r>
              <w:rPr>
                <w:rFonts w:hint="eastAsia" w:ascii="楷体" w:hAnsi="楷体" w:eastAsia="楷体" w:cs="Arial"/>
                <w:bCs/>
                <w:sz w:val="24"/>
                <w:szCs w:val="24"/>
              </w:rPr>
              <w:t>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监测设备：游标卡尺、钢卷尺。</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设备与监测设备基本满足公司产品和服务的需求。</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公司按照制定的《作业指导书》、《图纸》、《检验作业指导书》、《原料检验作业指导书》等文件对产品的生产和检验过程实施了过程控制。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公司生产和服务相关记录主要有：生产通知单、原材料入库单、产品工序巡检记录、成品检验记录等。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制定的管理手册和程序文件中规定了发生变更时采取的控制过程和措施，目前无变更需求。</w:t>
            </w:r>
          </w:p>
          <w:p>
            <w:pPr>
              <w:spacing w:line="360" w:lineRule="auto"/>
              <w:ind w:firstLine="480" w:firstLineChars="200"/>
              <w:rPr>
                <w:rFonts w:hint="eastAsia" w:ascii="楷体" w:hAnsi="楷体" w:eastAsia="楷体" w:cs="Arial"/>
                <w:bCs/>
                <w:sz w:val="24"/>
                <w:szCs w:val="24"/>
              </w:rPr>
            </w:pPr>
            <w:r>
              <w:rPr>
                <w:rFonts w:hint="eastAsia" w:ascii="楷体" w:hAnsi="楷体" w:eastAsia="楷体" w:cs="Arial"/>
                <w:bCs/>
                <w:sz w:val="24"/>
                <w:szCs w:val="24"/>
              </w:rPr>
              <w:t>经识别，无外包过程。</w:t>
            </w:r>
          </w:p>
          <w:p>
            <w:pPr>
              <w:spacing w:line="360" w:lineRule="auto"/>
              <w:ind w:firstLine="480" w:firstLineChars="200"/>
              <w:rPr>
                <w:rFonts w:hint="eastAsia" w:ascii="楷体" w:hAnsi="楷体" w:eastAsia="楷体" w:cs="Arial"/>
                <w:bCs/>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napToGrid w:val="0"/>
              <w:spacing w:line="360" w:lineRule="auto"/>
              <w:rPr>
                <w:rFonts w:ascii="楷体" w:hAnsi="楷体" w:eastAsia="楷体" w:cs="宋体"/>
                <w:sz w:val="24"/>
                <w:szCs w:val="24"/>
              </w:rPr>
            </w:pPr>
            <w:r>
              <w:rPr>
                <w:rFonts w:hint="eastAsia" w:ascii="楷体" w:hAnsi="楷体" w:eastAsia="楷体" w:cs="Arial"/>
                <w:bCs/>
                <w:sz w:val="24"/>
                <w:szCs w:val="24"/>
              </w:rPr>
              <w:t>Q8.3</w:t>
            </w:r>
          </w:p>
        </w:tc>
        <w:tc>
          <w:tcPr>
            <w:tcW w:w="10004" w:type="dxa"/>
          </w:tcPr>
          <w:p>
            <w:pPr>
              <w:tabs>
                <w:tab w:val="left" w:pos="9720"/>
                <w:tab w:val="left" w:pos="9900"/>
              </w:tabs>
              <w:spacing w:line="360" w:lineRule="auto"/>
              <w:ind w:firstLine="480" w:firstLineChars="200"/>
              <w:rPr>
                <w:rFonts w:hint="eastAsia" w:ascii="楷体" w:hAnsi="楷体" w:eastAsia="楷体"/>
                <w:color w:val="auto"/>
                <w:sz w:val="24"/>
                <w:szCs w:val="24"/>
              </w:rPr>
            </w:pPr>
            <w:r>
              <w:rPr>
                <w:rFonts w:hint="eastAsia" w:ascii="楷体" w:hAnsi="楷体" w:eastAsia="楷体"/>
                <w:sz w:val="24"/>
                <w:szCs w:val="24"/>
              </w:rPr>
              <w:t>组织主要是按照顾客要求进行</w:t>
            </w:r>
            <w:r>
              <w:rPr>
                <w:rFonts w:hint="eastAsia" w:ascii="楷体" w:hAnsi="楷体" w:eastAsia="楷体" w:cs="Arial"/>
                <w:bCs/>
                <w:sz w:val="24"/>
                <w:szCs w:val="24"/>
              </w:rPr>
              <w:t>软体家具（弹簧软体床垫、软体床、软体沙发）的生产</w:t>
            </w:r>
            <w:r>
              <w:rPr>
                <w:rFonts w:hint="eastAsia" w:ascii="楷体" w:hAnsi="楷体" w:eastAsia="楷体"/>
                <w:sz w:val="24"/>
                <w:szCs w:val="24"/>
              </w:rPr>
              <w:t>，</w:t>
            </w:r>
            <w:r>
              <w:rPr>
                <w:rFonts w:hint="eastAsia" w:ascii="楷体" w:hAnsi="楷体" w:eastAsia="楷体" w:cs="楷体"/>
                <w:color w:val="auto"/>
                <w:sz w:val="24"/>
                <w:szCs w:val="24"/>
                <w:lang w:val="en-US" w:eastAsia="zh-CN"/>
              </w:rPr>
              <w:t>企业目前按</w:t>
            </w:r>
            <w:r>
              <w:rPr>
                <w:rFonts w:hint="eastAsia" w:ascii="楷体" w:hAnsi="楷体" w:eastAsia="楷体"/>
                <w:color w:val="auto"/>
                <w:sz w:val="24"/>
                <w:szCs w:val="24"/>
                <w:lang w:val="en-US" w:eastAsia="zh-CN"/>
              </w:rPr>
              <w:t>已设计的款式加工销售占大多数，设计开发策划、输入、评审、确认均无变化，设计开发输出有变更，变更的主要内容为</w:t>
            </w:r>
            <w:r>
              <w:rPr>
                <w:rFonts w:hint="eastAsia" w:ascii="楷体" w:hAnsi="楷体" w:eastAsia="楷体" w:cs="Arial"/>
                <w:bCs/>
                <w:color w:val="auto"/>
                <w:sz w:val="24"/>
                <w:szCs w:val="24"/>
              </w:rPr>
              <w:t>软体</w:t>
            </w:r>
            <w:r>
              <w:rPr>
                <w:rFonts w:hint="eastAsia" w:ascii="楷体" w:hAnsi="楷体" w:eastAsia="楷体" w:cs="楷体"/>
                <w:color w:val="auto"/>
                <w:sz w:val="24"/>
                <w:szCs w:val="24"/>
              </w:rPr>
              <w:t>家具的</w:t>
            </w:r>
            <w:r>
              <w:rPr>
                <w:rFonts w:hint="eastAsia" w:ascii="楷体" w:hAnsi="楷体" w:eastAsia="楷体" w:cs="楷体"/>
                <w:color w:val="auto"/>
                <w:sz w:val="24"/>
                <w:szCs w:val="24"/>
                <w:lang w:val="en-US" w:eastAsia="zh-CN"/>
              </w:rPr>
              <w:t>尺寸、款式和家具颜色，上述变更经过总经理、技术人员、生产厂长和顾客共同确认</w:t>
            </w:r>
            <w:r>
              <w:rPr>
                <w:rFonts w:hint="eastAsia" w:ascii="楷体" w:hAnsi="楷体" w:eastAsia="楷体"/>
                <w:color w:val="auto"/>
                <w:sz w:val="24"/>
                <w:szCs w:val="24"/>
              </w:rPr>
              <w:t>。</w:t>
            </w:r>
          </w:p>
          <w:p>
            <w:pPr>
              <w:tabs>
                <w:tab w:val="left" w:pos="9720"/>
                <w:tab w:val="left" w:pos="9900"/>
              </w:tabs>
              <w:spacing w:line="360" w:lineRule="auto"/>
              <w:ind w:firstLine="480" w:firstLineChars="200"/>
              <w:rPr>
                <w:rFonts w:hint="eastAsia" w:ascii="楷体" w:hAnsi="楷体" w:eastAsia="楷体"/>
                <w:color w:val="auto"/>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0004" w:type="dxa"/>
          </w:tcPr>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公司主要从事软体家具（弹簧软体床垫、软体床、软体沙发）的生产。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公司依据客户订单，下达生产计划。</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生产厂长</w:t>
            </w:r>
            <w:r>
              <w:rPr>
                <w:rFonts w:hint="eastAsia" w:ascii="楷体" w:hAnsi="楷体" w:eastAsia="楷体" w:cs="宋体"/>
                <w:sz w:val="24"/>
                <w:szCs w:val="24"/>
                <w:lang w:val="en-US" w:eastAsia="zh-CN"/>
              </w:rPr>
              <w:t>杨金东</w:t>
            </w:r>
            <w:r>
              <w:rPr>
                <w:rFonts w:hint="eastAsia" w:ascii="楷体" w:hAnsi="楷体" w:eastAsia="楷体" w:cs="宋体"/>
                <w:sz w:val="24"/>
                <w:szCs w:val="24"/>
              </w:rPr>
              <w:t>介绍说，接到定单后召开生产会议，进行生产、质量及管理工作协调。通过原材料检验、过程检验、成品检验等过程对产品质量、生产进度等进行监控。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4</w:t>
            </w:r>
            <w:r>
              <w:rPr>
                <w:rFonts w:hint="eastAsia" w:ascii="楷体" w:hAnsi="楷体" w:eastAsia="楷体" w:cs="宋体"/>
                <w:sz w:val="24"/>
                <w:szCs w:val="24"/>
              </w:rPr>
              <w:t>.13所下达的下单跟踪单，产品：弹簧软体床垫5套，型号：典美，规格：1.5m*2m*0.25m，规定了各工序的相关技术要求。按要求进行了生产，有相关人员进行签字确认。</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抽20</w:t>
            </w:r>
            <w:r>
              <w:rPr>
                <w:rFonts w:hint="eastAsia" w:ascii="楷体" w:hAnsi="楷体" w:eastAsia="楷体" w:cs="宋体"/>
                <w:sz w:val="24"/>
                <w:szCs w:val="24"/>
                <w:lang w:val="en-US" w:eastAsia="zh-CN"/>
              </w:rPr>
              <w:t>20</w:t>
            </w:r>
            <w:r>
              <w:rPr>
                <w:rFonts w:hint="eastAsia" w:ascii="楷体" w:hAnsi="楷体" w:eastAsia="楷体" w:cs="宋体"/>
                <w:sz w:val="24"/>
                <w:szCs w:val="24"/>
              </w:rPr>
              <w:t>.5.20所下达的下单跟踪单，产品：软体沙发1套，型号：S11，规格：360*180*169cm规定了各工序的相关技术要求。按要求进行了生产，有相关人员进行签字确认。</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另抽20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5</w:t>
            </w:r>
            <w:r>
              <w:rPr>
                <w:rFonts w:hint="eastAsia" w:ascii="楷体" w:hAnsi="楷体" w:eastAsia="楷体" w:cs="宋体"/>
                <w:sz w:val="24"/>
                <w:szCs w:val="24"/>
              </w:rPr>
              <w:t>.1所下达的下单跟踪单，产品：软体床10套，型号：926，规格：242*206*100cm，规定了各工序的相关技术要求。按要求进行了生产，有相关人员进行签字确认。</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为生产过程提供了适宜的设备及环境。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配备了胜任的人员，如：生产厂长</w:t>
            </w:r>
            <w:r>
              <w:rPr>
                <w:rFonts w:hint="eastAsia" w:ascii="楷体" w:hAnsi="楷体" w:eastAsia="楷体" w:cs="宋体"/>
                <w:sz w:val="24"/>
                <w:szCs w:val="24"/>
                <w:lang w:val="en-US" w:eastAsia="zh-CN"/>
              </w:rPr>
              <w:t>杨金东</w:t>
            </w:r>
            <w:r>
              <w:rPr>
                <w:rFonts w:hint="eastAsia" w:ascii="楷体" w:hAnsi="楷体" w:eastAsia="楷体" w:cs="宋体"/>
                <w:sz w:val="24"/>
                <w:szCs w:val="24"/>
              </w:rPr>
              <w:t>，有较丰富的管理经验和专业技术水平。</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生产厂长介绍说生产过程中采取措施防止人为错误；如：通过专用图纸、电脑程序、模具、夹具、配备专业技术人员和加强技术人员的培训不断提高生产水平来防止人为失误等。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生产厂长介绍说，产品交付后如客户在使用过程中出现问题，先通过电话进行解决，如远程无法解决，派专人到客户现场实地解决。</w:t>
            </w:r>
          </w:p>
          <w:p>
            <w:pPr>
              <w:spacing w:line="360" w:lineRule="auto"/>
              <w:ind w:firstLine="480" w:firstLineChars="20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现场审核，抽查关键工序控制情况：</w:t>
            </w:r>
          </w:p>
          <w:p>
            <w:pPr>
              <w:spacing w:line="360" w:lineRule="auto"/>
              <w:ind w:firstLine="480" w:firstLineChars="200"/>
              <w:rPr>
                <w:rFonts w:ascii="楷体" w:hAnsi="楷体" w:eastAsia="楷体"/>
                <w:sz w:val="24"/>
                <w:szCs w:val="24"/>
                <w:highlight w:val="yellow"/>
              </w:rPr>
            </w:pPr>
            <w:r>
              <w:rPr>
                <w:rFonts w:hint="eastAsia" w:ascii="楷体" w:hAnsi="楷体" w:eastAsia="楷体"/>
                <w:sz w:val="24"/>
                <w:szCs w:val="24"/>
              </w:rPr>
              <w:t>裥棉工序：操作工罗泽林根据生产单要求进行生产弹簧软体床垫产品（型号：上拆乳胶，规格1.8m*2.0m*0.23m），正在将280g白色针织面料+2.4cm 902海绵+1000#喷胶绵+30g/2.2m无纺布，通过机器（电脑多针绣花机，使用上锈10寸风车图案专用程序）连成一体,并在针织面料上锈10寸风车图案。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串网工序：操作工申昌远根据生产单要求生产，将　2.25mm的钢丝放入线盘架上，Φ1.5mm的蛇线(钢丝)放入蛇套，然后通过机器（半自动串网机、专用程序）进行操作，生产床网（规格：1.8m*2.0m*0.17m，弹簧排数：21排*32排，弹簧口径：67mm，弹簧芯径：35mm）。</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扣布工序：操作工刘彪根据生产单要求生产弹簧软体床垫产品（型号：典美，规格：1.8m*2.0m*0.25m，颜色灰色，图案：单针绣花图案1#），选用床网（尺寸：1.8m*2.0m*0.17m，弹簧排数：21排*32排）、面料（灰色针织单针面料），进行扣布（长度：每隔两个弹簧扣一枪，宽度：每隔一个弹簧扣一枪）固定，扣布完后套上侧边（宽度22cm，灰色）并在按指定距离打好透气孔（每张床垫4个透气孔，直径：1.5cm），用垫片固定好透气孔后，进行自检合格后流入下一工序。</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围边工序：操作工廖为龙根据生产单要求生产弹簧软体床垫产品（型号：典美，规格：1.8m*2.0m*0.25m，颜色灰色，图案：单针绣花图案1#）。围边前，首先检查上道工序（扣布后半成品）合格后进行围边，选用边带（宽度4.2cm，灰色）通过床垫封边机进行围边（针距：4针/cm），上下垂直且平行，转角成90度-95度之间，不能有跳针跳线漏线现象。</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包装工序：操作工马超建、董显莹根据生产单要求生产弹簧软体床垫产品（型号：典美，规格：1.8m*2.0m*0.25m，颜色灰色，图案：单针绣花图案1#）。包装前首先检查上道工序（围边后半成品）合格后，用气枪将床垫吹干净，不能有污渍，线头等不良。然后进行包装（将相关的护角、画纸、说明</w:t>
            </w:r>
            <w:r>
              <w:rPr>
                <w:rFonts w:hint="eastAsia" w:ascii="楷体" w:hAnsi="楷体" w:eastAsia="楷体" w:cs="宋体"/>
                <w:sz w:val="24"/>
                <w:szCs w:val="24"/>
              </w:rPr>
              <w:t>书、保修卡配套放置指定位置，套上牛皮纸（1.8m*2.0m*0.26m），封口后贴上出厂合格证）。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开料和钉架工序：操作工林万生根据生产单要求生产软体沙发（型号：K02A，规格:3.65m*1.8m*0.9m）产品的木质架体。按照此款产品硬纸模板尺寸规格，用圆珠笔在夹板上画出产品拼架侧、座架侧模板，通过带锯开出对应的拼架侧、座架侧；按图纸要求用推台锯开出2cm*5cm及2cm*4cm等规格各种长度（如：1.8m,0.9m等）的芬兰松木方；使用438#枪钉将木方、拼架侧、座架侧按要求进行组装，订出沙发的框架，进行自检合格后流入下一道工序。</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裁皮工序：操作工罗承兰根据生产单要求生产软体床（型号：962#，规格：242cm*206cm*100cm）外套，按照产品选取所需皮料（编号：</w:t>
            </w:r>
            <w:r>
              <w:rPr>
                <w:rFonts w:ascii="楷体" w:hAnsi="楷体" w:eastAsia="楷体" w:cs="宋体"/>
                <w:sz w:val="24"/>
                <w:szCs w:val="24"/>
              </w:rPr>
              <w:t>1373-01</w:t>
            </w:r>
            <w:r>
              <w:rPr>
                <w:rFonts w:hint="eastAsia" w:ascii="楷体" w:hAnsi="楷体" w:eastAsia="楷体" w:cs="宋体"/>
                <w:sz w:val="24"/>
                <w:szCs w:val="24"/>
              </w:rPr>
              <w:t>、1373-02），检查皮料正反面是否有裂纹，色差等不良，检验合格后开始作业，按此款产品硬纸模板尺寸规格，用水银笔/铅笔在皮料上画出床头、床边、床位所需皮料的图形，然后进行裁剪（要求所裁出的皮料与硬纸模板一致），将裁剪后的后的半成品摆放整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扪皮工序：操作工谢忠祥根据生产单要求生产弹簧软体沙发（型号：S50，规格：370cm*180cm*90cm产品。领取相应的沙发框架和布套，用1010#枪钉将布套钉在沙发底部（要求：每2cm需至少钉一枪，布套与沙发框架中海绵贴紧无皱褶），在沙发底部钉住竹炭防潮剂，用白色大眼网布封底后装入木脚（规格：58cm*46cm*38cm），自检合格后将半成品摆放整齐。</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观察以上个工序实际操作，符合操作规程要求。</w:t>
            </w:r>
          </w:p>
          <w:p>
            <w:pPr>
              <w:spacing w:line="360" w:lineRule="auto"/>
              <w:ind w:firstLine="480" w:firstLineChars="200"/>
              <w:rPr>
                <w:rFonts w:hint="eastAsia" w:ascii="楷体" w:hAnsi="楷体" w:eastAsia="楷体" w:cs="宋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标识和可追溯/产品防护</w:t>
            </w:r>
          </w:p>
        </w:tc>
        <w:tc>
          <w:tcPr>
            <w:tcW w:w="1311" w:type="dxa"/>
            <w:vAlign w:val="center"/>
          </w:tcPr>
          <w:p>
            <w:pPr>
              <w:spacing w:line="360" w:lineRule="auto"/>
              <w:jc w:val="center"/>
              <w:rPr>
                <w:rFonts w:ascii="楷体" w:hAnsi="楷体" w:eastAsia="楷体"/>
                <w:sz w:val="24"/>
                <w:szCs w:val="24"/>
              </w:rPr>
            </w:pPr>
            <w:r>
              <w:rPr>
                <w:rFonts w:ascii="楷体" w:hAnsi="楷体" w:eastAsia="楷体"/>
                <w:sz w:val="24"/>
                <w:szCs w:val="24"/>
              </w:rPr>
              <w:t>Q8.5.2</w:t>
            </w:r>
          </w:p>
          <w:p>
            <w:pPr>
              <w:spacing w:line="360" w:lineRule="auto"/>
              <w:jc w:val="center"/>
              <w:rPr>
                <w:rFonts w:ascii="楷体" w:hAnsi="楷体" w:eastAsia="楷体"/>
                <w:sz w:val="24"/>
                <w:szCs w:val="24"/>
              </w:rPr>
            </w:pPr>
            <w:r>
              <w:rPr>
                <w:rFonts w:ascii="楷体" w:hAnsi="楷体" w:eastAsia="楷体"/>
                <w:sz w:val="24"/>
                <w:szCs w:val="24"/>
              </w:rPr>
              <w:t>8.5.4</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产品标识主要通过划分区域、巡检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原材料依据不同的类型和防护要求进行防护，产品运输时防止跌落损坏等。</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生产车间现场加工的半成品、成品分别按区域放置。原材料分类分区放置在指定仓库、产品标识方法得当、未发现不同类型和状态产品发生混淆现象。</w:t>
            </w:r>
          </w:p>
          <w:p>
            <w:pPr>
              <w:tabs>
                <w:tab w:val="left" w:pos="3640"/>
              </w:tabs>
              <w:spacing w:line="360" w:lineRule="auto"/>
              <w:ind w:firstLine="480" w:firstLineChars="200"/>
              <w:rPr>
                <w:rFonts w:ascii="楷体" w:hAnsi="楷体" w:eastAsia="楷体"/>
                <w:sz w:val="24"/>
                <w:szCs w:val="24"/>
              </w:rPr>
            </w:pPr>
            <w:r>
              <w:rPr>
                <w:rFonts w:hint="eastAsia" w:ascii="楷体" w:hAnsi="楷体" w:eastAsia="楷体"/>
                <w:sz w:val="24"/>
                <w:szCs w:val="24"/>
              </w:rPr>
              <w:t>标识和可追溯性基本符合标准要求。</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产品防护措施得当，贮存环境适宜，产品防护基本符合要求。</w:t>
            </w:r>
          </w:p>
          <w:p>
            <w:pPr>
              <w:spacing w:line="360" w:lineRule="auto"/>
              <w:ind w:firstLine="480" w:firstLineChars="200"/>
              <w:rPr>
                <w:rFonts w:hint="eastAsia" w:ascii="楷体" w:hAnsi="楷体" w:eastAsia="楷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更改控制</w:t>
            </w:r>
          </w:p>
        </w:tc>
        <w:tc>
          <w:tcPr>
            <w:tcW w:w="1311" w:type="dxa"/>
            <w:vAlign w:val="center"/>
          </w:tcPr>
          <w:p>
            <w:pPr>
              <w:tabs>
                <w:tab w:val="left" w:pos="7380"/>
              </w:tabs>
              <w:spacing w:line="360" w:lineRule="auto"/>
              <w:rPr>
                <w:rFonts w:ascii="楷体" w:hAnsi="楷体" w:eastAsia="楷体"/>
                <w:sz w:val="24"/>
                <w:szCs w:val="24"/>
              </w:rPr>
            </w:pPr>
            <w:r>
              <w:rPr>
                <w:rFonts w:ascii="楷体" w:hAnsi="楷体" w:eastAsia="楷体"/>
                <w:sz w:val="24"/>
                <w:szCs w:val="24"/>
              </w:rPr>
              <w:t>Q8.5.6</w:t>
            </w:r>
          </w:p>
        </w:tc>
        <w:tc>
          <w:tcPr>
            <w:tcW w:w="10004"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生产部厂长介绍，当内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p>
            <w:pPr>
              <w:spacing w:line="360" w:lineRule="auto"/>
              <w:ind w:firstLine="480" w:firstLineChars="200"/>
              <w:rPr>
                <w:rFonts w:hint="eastAsia" w:ascii="楷体" w:hAnsi="楷体" w:eastAsia="楷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w:t>
            </w:r>
            <w:r>
              <w:rPr>
                <w:rFonts w:hint="eastAsia" w:ascii="楷体" w:hAnsi="楷体" w:eastAsia="楷体"/>
                <w:bCs/>
                <w:sz w:val="24"/>
                <w:szCs w:val="24"/>
                <w:lang w:val="en-US" w:eastAsia="zh-CN"/>
              </w:rPr>
              <w:t>O</w:t>
            </w:r>
            <w:r>
              <w:rPr>
                <w:rFonts w:hint="eastAsia" w:ascii="楷体" w:hAnsi="楷体" w:eastAsia="楷体"/>
                <w:bCs/>
                <w:sz w:val="24"/>
                <w:szCs w:val="24"/>
              </w:rPr>
              <w:t>6.1.2</w:t>
            </w:r>
          </w:p>
          <w:p>
            <w:pPr>
              <w:spacing w:line="360" w:lineRule="auto"/>
              <w:rPr>
                <w:rFonts w:ascii="楷体" w:hAnsi="楷体" w:eastAsia="楷体" w:cs="宋体"/>
                <w:sz w:val="24"/>
                <w:szCs w:val="24"/>
              </w:rPr>
            </w:pP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了《环境因素识别与评价程序》和《危险源辨识、风险评价和风险控制程序》，对环境因素、危险源的识别、评价结果、控制手段等做出了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介绍了对环境因素、危险源进行了辨识，考虑了三种时态，过去、现在和将来，三种状态，正常、异常和紧急，按照办公和生产</w:t>
            </w:r>
            <w:r>
              <w:rPr>
                <w:rFonts w:hint="eastAsia" w:ascii="楷体" w:hAnsi="楷体" w:eastAsia="楷体"/>
                <w:sz w:val="24"/>
                <w:szCs w:val="24"/>
              </w:rPr>
              <w:t>过程进行了辨识。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从生命周期观点，三种时态、三种状态、八个方面来识别，识别了办公过程的废纸随意丢弃污染环境、复印机打印机废墨盒处置污染环境、生活垃圾的处置不当污染环境、吸烟污染空气等,生产过程中噪音、废气、固废、火灾 、废水排放、能源消耗等，识别基本齐全。车间发生火灾</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采用评分标准以打分的方式评价重要环境因素，评价出的重要环境因素为：潜在火灾、固废排放等。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生产办公活动各过程分别进行辨识，考虑了触电、职业病伤害、意外伤害、火灾、尘肺病等方面；生产部识别的各区域危险源有：电脑辐射、噪声伤害、触电、中暑、尘肺病、机械伤害、火灾事故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不可接受风险识别有：火灾、触电、物体打击、机械伤害等</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hint="eastAsia" w:ascii="楷体" w:hAnsi="楷体" w:eastAsia="楷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809"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311"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w:t>
            </w:r>
            <w:r>
              <w:rPr>
                <w:rFonts w:hint="eastAsia" w:ascii="楷体" w:hAnsi="楷体" w:eastAsia="楷体" w:cs="宋体"/>
                <w:sz w:val="24"/>
                <w:szCs w:val="24"/>
                <w:lang w:val="en-US" w:eastAsia="zh-CN"/>
              </w:rPr>
              <w:t>O</w:t>
            </w:r>
            <w:r>
              <w:rPr>
                <w:rFonts w:hint="eastAsia" w:ascii="楷体" w:hAnsi="楷体" w:eastAsia="楷体" w:cs="Arial"/>
                <w:sz w:val="24"/>
                <w:szCs w:val="24"/>
              </w:rPr>
              <w:t>6.1.3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编制了《法律法规和其他要求控制程序》，对法律法规的识别更新和应用进行规定，生产部为主控部门。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法律法规及其他要求清单》，识别了企业相关环境和职业健康安全法律法规、标准和其他要求。如《中华人民共和国环境影响评价法》、《中华人民共和国安全生产法》、《中华人民共和国环境噪声污染防治法》、《中华人民共和国职业病防治法》、《中华人民共和国消防法》、《中华人民共和国大气污染防治法》、《国家危险废物名录》、《城市生活垃圾管理办法》、《江西省环境污染防治条例》、《江西省建设项目环境保护条例》、《江西省突发公共事件总体应急预案》《中华人民共和国节约能源法》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已识别法律法规及其它要求的适用条款，并与环境因素、危险源进行了对应。</w:t>
            </w:r>
          </w:p>
          <w:p>
            <w:pPr>
              <w:snapToGrid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公司法律、法规及其它要求都有现行文本，大部分为电子版本。各部门如有需要到办公室查阅。公司通过培训、会议等方式向有关员工传达法律、法规及其它要求的相关要求。</w:t>
            </w:r>
          </w:p>
          <w:p>
            <w:pPr>
              <w:snapToGrid w:val="0"/>
              <w:spacing w:line="360" w:lineRule="auto"/>
              <w:ind w:firstLine="480" w:firstLineChars="200"/>
              <w:rPr>
                <w:rFonts w:hint="eastAsia" w:ascii="楷体" w:hAnsi="楷体" w:eastAsia="楷体" w:cs="宋体"/>
                <w:sz w:val="24"/>
                <w:szCs w:val="24"/>
              </w:rPr>
            </w:pPr>
            <w:r>
              <w:rPr>
                <w:rFonts w:hint="eastAsia" w:hAnsiTheme="minorEastAsia" w:eastAsiaTheme="minorEastAsia"/>
                <w:sz w:val="24"/>
                <w:szCs w:val="24"/>
                <w:lang w:val="en-US" w:eastAsia="zh-CN"/>
              </w:rPr>
              <w:t>与二阶段远程审核内容一致，确认符合要求。</w:t>
            </w:r>
          </w:p>
          <w:p>
            <w:pPr>
              <w:snapToGrid w:val="0"/>
              <w:spacing w:line="360" w:lineRule="auto"/>
              <w:ind w:firstLine="480" w:firstLineChars="200"/>
              <w:rPr>
                <w:rFonts w:hint="eastAsia" w:ascii="楷体" w:hAnsi="楷体" w:eastAsia="楷体" w:cs="宋体"/>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环境管理措施的策划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E6.1.4</w:t>
            </w:r>
          </w:p>
        </w:tc>
        <w:tc>
          <w:tcPr>
            <w:tcW w:w="10004"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组织对环境运行过程进行了识别和策划,制定了废旧物资处置管理规定、节能减排管理规定、废旧物资处置管理规定、消防管理规定、</w:t>
            </w:r>
            <w:r>
              <w:rPr>
                <w:rFonts w:hint="eastAsia" w:ascii="楷体" w:hAnsi="楷体" w:eastAsia="楷体" w:cs="楷体"/>
                <w:sz w:val="24"/>
                <w:szCs w:val="24"/>
              </w:rPr>
              <w:t>生产现场管理规定、</w:t>
            </w:r>
            <w:r>
              <w:rPr>
                <w:rFonts w:hint="eastAsia" w:ascii="楷体" w:hAnsi="楷体" w:eastAsia="楷体"/>
                <w:sz w:val="24"/>
                <w:szCs w:val="24"/>
              </w:rPr>
              <w:t>环境作业指导书文件、危险化学品安全管理规定等文件，规定了具体的方法及监视、测量和持续改进等要求。</w:t>
            </w:r>
          </w:p>
          <w:p>
            <w:pPr>
              <w:spacing w:line="360" w:lineRule="auto"/>
              <w:ind w:firstLine="480" w:firstLineChars="200"/>
              <w:rPr>
                <w:rFonts w:hint="eastAsia" w:ascii="楷体" w:hAnsi="楷体" w:eastAsia="楷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w:t>
            </w:r>
            <w:r>
              <w:rPr>
                <w:rFonts w:hint="eastAsia" w:ascii="楷体" w:hAnsi="楷体" w:eastAsia="楷体"/>
                <w:bCs/>
                <w:sz w:val="24"/>
                <w:szCs w:val="24"/>
                <w:lang w:val="en-US" w:eastAsia="zh-CN"/>
              </w:rPr>
              <w:t>O</w:t>
            </w:r>
            <w:r>
              <w:rPr>
                <w:rFonts w:hint="eastAsia" w:ascii="楷体" w:hAnsi="楷体" w:eastAsia="楷体"/>
                <w:bCs/>
                <w:sz w:val="24"/>
                <w:szCs w:val="24"/>
              </w:rPr>
              <w:t>8.1</w:t>
            </w:r>
          </w:p>
          <w:p>
            <w:pPr>
              <w:spacing w:line="360" w:lineRule="auto"/>
              <w:rPr>
                <w:rFonts w:ascii="楷体" w:hAnsi="楷体" w:eastAsia="楷体" w:cs="宋体"/>
                <w:sz w:val="24"/>
                <w:szCs w:val="24"/>
              </w:rPr>
            </w:pPr>
          </w:p>
        </w:tc>
        <w:tc>
          <w:tcPr>
            <w:tcW w:w="1000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管理运行控制程序》、《废弃物处理规定》、《环境保护管理规定》、《消防管理规定》、《职业卫生管理规定》、《劳动保护管理规定》、《危险化学品安全管理规定》、《生产现场管理规定》、《环境作业指导书文件》、《职业安全健康管理体系作业指导书》、《应急预案》</w:t>
            </w:r>
            <w:r>
              <w:rPr>
                <w:rFonts w:hint="eastAsia" w:ascii="楷体" w:hAnsi="楷体" w:eastAsia="楷体" w:cs="宋体"/>
                <w:sz w:val="24"/>
                <w:szCs w:val="24"/>
              </w:rPr>
              <w:t>等。</w:t>
            </w:r>
          </w:p>
          <w:p>
            <w:pPr>
              <w:snapToGrid w:val="0"/>
              <w:spacing w:line="360" w:lineRule="auto"/>
              <w:ind w:firstLine="480" w:firstLineChars="200"/>
              <w:rPr>
                <w:rFonts w:hint="eastAsia" w:ascii="楷体" w:hAnsi="楷体" w:eastAsia="楷体"/>
                <w:sz w:val="24"/>
                <w:szCs w:val="24"/>
              </w:rPr>
            </w:pPr>
          </w:p>
          <w:p>
            <w:pPr>
              <w:snapToGrid w:val="0"/>
              <w:spacing w:line="360" w:lineRule="auto"/>
              <w:ind w:firstLine="480" w:firstLineChars="200"/>
              <w:rPr>
                <w:rFonts w:hint="eastAsia" w:ascii="楷体" w:hAnsi="楷体" w:eastAsia="楷体" w:cs="宋体"/>
                <w:sz w:val="24"/>
                <w:szCs w:val="24"/>
              </w:rPr>
            </w:pPr>
            <w:r>
              <w:rPr>
                <w:rFonts w:hint="eastAsia" w:ascii="楷体" w:hAnsi="楷体" w:eastAsia="楷体"/>
                <w:sz w:val="24"/>
                <w:szCs w:val="24"/>
              </w:rPr>
              <w:t>查到2013年1</w:t>
            </w:r>
            <w:r>
              <w:rPr>
                <w:rFonts w:hint="eastAsia" w:ascii="楷体" w:hAnsi="楷体" w:eastAsia="楷体"/>
                <w:sz w:val="24"/>
                <w:szCs w:val="24"/>
                <w:lang w:val="en-US" w:eastAsia="zh-CN"/>
              </w:rPr>
              <w:t>1</w:t>
            </w:r>
            <w:r>
              <w:rPr>
                <w:rFonts w:hint="eastAsia" w:ascii="楷体" w:hAnsi="楷体" w:eastAsia="楷体"/>
                <w:sz w:val="24"/>
                <w:szCs w:val="24"/>
              </w:rPr>
              <w:t>月</w:t>
            </w:r>
            <w:r>
              <w:rPr>
                <w:rFonts w:hint="eastAsia" w:ascii="楷体" w:hAnsi="楷体" w:eastAsia="楷体"/>
                <w:sz w:val="24"/>
                <w:szCs w:val="24"/>
                <w:lang w:val="en-US" w:eastAsia="zh-CN"/>
              </w:rPr>
              <w:t>26日</w:t>
            </w:r>
            <w:r>
              <w:rPr>
                <w:rFonts w:hint="eastAsia" w:ascii="楷体" w:hAnsi="楷体" w:eastAsia="楷体"/>
                <w:sz w:val="24"/>
                <w:szCs w:val="24"/>
              </w:rPr>
              <w:t>环评报告书，2014.</w:t>
            </w:r>
            <w:r>
              <w:rPr>
                <w:rFonts w:hint="eastAsia" w:ascii="楷体" w:hAnsi="楷体" w:eastAsia="楷体"/>
                <w:sz w:val="24"/>
                <w:szCs w:val="24"/>
                <w:lang w:val="en-US" w:eastAsia="zh-CN"/>
              </w:rPr>
              <w:t>3</w:t>
            </w:r>
            <w:r>
              <w:rPr>
                <w:rFonts w:hint="eastAsia" w:ascii="楷体" w:hAnsi="楷体" w:eastAsia="楷体"/>
                <w:sz w:val="24"/>
                <w:szCs w:val="24"/>
              </w:rPr>
              <w:t>.1</w:t>
            </w:r>
            <w:r>
              <w:rPr>
                <w:rFonts w:hint="eastAsia" w:ascii="楷体" w:hAnsi="楷体" w:eastAsia="楷体"/>
                <w:sz w:val="24"/>
                <w:szCs w:val="24"/>
                <w:lang w:val="en-US" w:eastAsia="zh-CN"/>
              </w:rPr>
              <w:t>9</w:t>
            </w:r>
            <w:r>
              <w:rPr>
                <w:rFonts w:hint="eastAsia" w:ascii="楷体" w:hAnsi="楷体" w:eastAsia="楷体"/>
                <w:sz w:val="24"/>
                <w:szCs w:val="24"/>
              </w:rPr>
              <w:t>日环评验收报告，企业已经过环评验收。</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企业废水主要是生活废水，食堂生活废水经过隔油池处理后与办公楼、厕所产生的废水采用“化粪池+微动力生化处理装置”，处理后排入工业园内污水管网统一处理。</w:t>
            </w:r>
          </w:p>
          <w:p>
            <w:pPr>
              <w:spacing w:line="360" w:lineRule="auto"/>
              <w:ind w:firstLine="421"/>
              <w:rPr>
                <w:rFonts w:ascii="楷体" w:hAnsi="楷体" w:eastAsia="楷体"/>
                <w:sz w:val="24"/>
                <w:szCs w:val="24"/>
              </w:rPr>
            </w:pPr>
            <w:r>
              <w:rPr>
                <w:rFonts w:hint="eastAsia" w:ascii="楷体" w:hAnsi="楷体" w:eastAsia="楷体"/>
                <w:sz w:val="24"/>
                <w:szCs w:val="24"/>
              </w:rPr>
              <w:t>2、废气管控：</w:t>
            </w:r>
          </w:p>
          <w:p>
            <w:pPr>
              <w:spacing w:line="360" w:lineRule="auto"/>
              <w:ind w:firstLine="421"/>
              <w:rPr>
                <w:rFonts w:ascii="楷体" w:hAnsi="楷体" w:eastAsia="楷体"/>
                <w:sz w:val="24"/>
                <w:szCs w:val="24"/>
              </w:rPr>
            </w:pPr>
            <w:r>
              <w:rPr>
                <w:rFonts w:hint="eastAsia" w:ascii="楷体" w:hAnsi="楷体" w:eastAsia="楷体"/>
                <w:sz w:val="24"/>
                <w:szCs w:val="24"/>
              </w:rPr>
              <w:t>主要是木工开料工序的粉尘，包装吹灰工序的粉尘，在开料锯床上部安装集尘罩收集粉尘到布袋除尘器处理。吹灰和开料工序操作工戴口罩。</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在下料、车裁、打底、串网、打边、围边等工序产生噪声，采取厂房内操作和选用低噪声的设备和工具，同时加强设备的检查和维保，确保机械设备在正常工况下运行，其他工序基本无噪声，无高噪声设备。</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4、固废管控：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生产过程中主要为下料产生废边角余料、木屑粉尘，集尘器收集的废屑粉尘，集中收集卖给木板供应商；生活垃圾由当地环卫所处理，公司缴纳处理费。</w:t>
            </w:r>
          </w:p>
          <w:p>
            <w:pPr>
              <w:numPr>
                <w:ilvl w:val="0"/>
                <w:numId w:val="2"/>
              </w:numPr>
              <w:spacing w:line="360" w:lineRule="auto"/>
              <w:ind w:firstLine="421"/>
              <w:rPr>
                <w:rFonts w:ascii="楷体" w:hAnsi="楷体" w:eastAsia="楷体" w:cs="宋体"/>
                <w:sz w:val="24"/>
                <w:szCs w:val="24"/>
              </w:rPr>
            </w:pP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生产过程注意节水、节电、节约木材、布料，人走关闭设备和照明开关，现场未发现有漏水和浪费电能的现象。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公司从工艺设计和采购产品时已考虑了产品的环保性（包括其包装），生产过程中，严格按照环保等管理制度实施，控制好辅助材料的用量，避免浪费，生命周期终了时木材、钢筋等还可以回收再利用。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公司给员工发放手套、口罩、工作服等劳保用品。</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9、能提供防止员工意外伤害加重的急救药品如创可贴、杀菌药水等。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10、为主要长期员工上社保，查见了交款证明。</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11、为环境和职业健康安全管理体系运行提供了财务支持，见行政部审核记录。</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12</w:t>
            </w:r>
            <w:r>
              <w:rPr>
                <w:rFonts w:hint="eastAsia" w:ascii="楷体" w:hAnsi="楷体" w:eastAsia="楷体" w:cs="宋体"/>
                <w:sz w:val="24"/>
                <w:szCs w:val="24"/>
              </w:rPr>
              <w:t>、员工饮用水为纯净水通过饮水机饮用。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13、现场运行控制：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现场查看各工序设备运转正常，人员操作方法合理，并佩带要相应的防护措施，如口罩、手套等。操作人员穿戴有工作衣、工作鞋等安全防护用品。</w:t>
            </w:r>
          </w:p>
          <w:p>
            <w:pPr>
              <w:spacing w:line="360" w:lineRule="auto"/>
              <w:ind w:firstLine="360" w:firstLineChars="150"/>
              <w:rPr>
                <w:rFonts w:ascii="楷体" w:hAnsi="楷体" w:eastAsia="楷体" w:cs="楷体"/>
                <w:sz w:val="24"/>
                <w:szCs w:val="24"/>
              </w:rPr>
            </w:pPr>
            <w:r>
              <w:rPr>
                <w:rFonts w:hint="eastAsia" w:ascii="楷体" w:hAnsi="楷体" w:eastAsia="楷体"/>
                <w:sz w:val="24"/>
                <w:szCs w:val="24"/>
              </w:rPr>
              <w:t>各车间安全设施</w:t>
            </w:r>
            <w:r>
              <w:rPr>
                <w:rFonts w:hint="eastAsia" w:ascii="楷体" w:hAnsi="楷体" w:eastAsia="楷体" w:cs="楷体"/>
                <w:sz w:val="24"/>
                <w:szCs w:val="24"/>
              </w:rPr>
              <w:t>设有提示说明，方便取用，未发现遮挡消防设施和挤占消防通道的情况。</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沙发和软体床</w:t>
            </w:r>
            <w:r>
              <w:rPr>
                <w:rFonts w:ascii="楷体" w:hAnsi="楷体" w:eastAsia="楷体" w:cs="楷体"/>
                <w:sz w:val="24"/>
                <w:szCs w:val="24"/>
              </w:rPr>
              <w:t>车间下料工序</w:t>
            </w:r>
            <w:r>
              <w:rPr>
                <w:rFonts w:hint="eastAsia" w:ascii="楷体" w:hAnsi="楷体" w:eastAsia="楷体" w:cs="楷体"/>
                <w:sz w:val="24"/>
                <w:szCs w:val="24"/>
              </w:rPr>
              <w:t>：防护设施合理，锯料设备有防护罩，设备上张贴安全警示标识。现场锯料操作人员配戴口罩，搬运人员配戴线手套，所有车间人员均着工作服、安全鞋。布袋除尘设施运转正常，废边角料集中堆放，下料工序旁地面有少量灰尘，车间主任介绍每周彻底清扫一次，会打扫干净，现场提出了批评指正。</w:t>
            </w:r>
          </w:p>
          <w:p>
            <w:pPr>
              <w:autoSpaceDE w:val="0"/>
              <w:autoSpaceDN w:val="0"/>
              <w:adjustRightInd w:val="0"/>
              <w:spacing w:line="360" w:lineRule="auto"/>
              <w:ind w:firstLine="360" w:firstLineChars="150"/>
              <w:rPr>
                <w:rFonts w:ascii="楷体" w:hAnsi="楷体" w:eastAsia="楷体" w:cs="楷体"/>
                <w:sz w:val="24"/>
                <w:szCs w:val="24"/>
              </w:rPr>
            </w:pPr>
            <w:r>
              <w:rPr>
                <w:rFonts w:ascii="楷体" w:hAnsi="楷体" w:eastAsia="楷体" w:cs="楷体"/>
                <w:sz w:val="24"/>
                <w:szCs w:val="24"/>
              </w:rPr>
              <w:t>串网车间</w:t>
            </w:r>
            <w:r>
              <w:rPr>
                <w:rFonts w:hint="eastAsia" w:ascii="楷体" w:hAnsi="楷体" w:eastAsia="楷体" w:cs="楷体"/>
                <w:sz w:val="24"/>
                <w:szCs w:val="24"/>
              </w:rPr>
              <w:t>：</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使用半自动串网机进行作业，安装了减震设施，噪音轻微，下脚料使用大桶进行收集；无废气、废水。在设备旁，张贴有设备安全操作规程，员工佩带手套、穿戴工作服及工作鞋进行作业。</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裥棉车间：</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使用电脑裥棉机设备，噪声轻微，废边角料放在了大垃圾桶；无废气、废水。在设备旁，张贴设备安全操作规程；通过设备操作架，与过道进行隔离，取到安全防护作用。</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扣布、围边工序：</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使用床垫封边机进行作业，噪音轻微；无废气、废水、废料。在设备旁，张贴有设备安全操作规程，员工佩带手套、穿戴工作服及工作鞋进行作业。</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包装工序：</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使用全自动压缩包装机进安装了减震设施行作业，噪音轻微，多余不良废弃品放在了大垃圾桶中；无废气、废水。</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在设备旁，张贴有设备安全操作规程，员工佩带手套、穿戴工作服及工作鞋进行作业。</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各车间现场配有消防设备，包装现场查看操作员工配戴手套，穿戴工作服及工作鞋。</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、高压验电笔、安全帽，内部配有灭火器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360" w:firstLineChars="150"/>
              <w:rPr>
                <w:rFonts w:ascii="楷体" w:hAnsi="楷体" w:eastAsia="楷体"/>
                <w:sz w:val="24"/>
                <w:szCs w:val="24"/>
              </w:rPr>
            </w:pPr>
            <w:r>
              <w:rPr>
                <w:rFonts w:hint="eastAsia" w:ascii="楷体" w:hAnsi="楷体" w:eastAsia="楷体"/>
                <w:sz w:val="24"/>
                <w:szCs w:val="24"/>
              </w:rPr>
              <w:t>车间安装有应急灯和应急出口指示。</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车间现场在环保和职业健康安全防护方面的控制管理基本有效。</w:t>
            </w:r>
          </w:p>
          <w:p>
            <w:pPr>
              <w:spacing w:line="360" w:lineRule="auto"/>
              <w:ind w:firstLine="421"/>
              <w:rPr>
                <w:rFonts w:hint="eastAsia" w:ascii="楷体" w:hAnsi="楷体" w:eastAsia="楷体" w:cs="宋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8.2</w:t>
            </w:r>
          </w:p>
          <w:p>
            <w:pPr>
              <w:spacing w:line="360" w:lineRule="auto"/>
              <w:rPr>
                <w:rFonts w:ascii="楷体" w:hAnsi="楷体" w:eastAsia="楷体"/>
                <w:sz w:val="24"/>
                <w:szCs w:val="24"/>
              </w:rPr>
            </w:pPr>
          </w:p>
        </w:tc>
        <w:tc>
          <w:tcPr>
            <w:tcW w:w="1000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w:t>
            </w:r>
            <w:r>
              <w:rPr>
                <w:rFonts w:hint="eastAsia" w:ascii="楷体" w:hAnsi="楷体" w:eastAsia="楷体" w:cs="楷体"/>
                <w:bCs/>
                <w:sz w:val="24"/>
                <w:szCs w:val="24"/>
              </w:rPr>
              <w:t>触电、人身伤害等。</w:t>
            </w:r>
            <w:r>
              <w:rPr>
                <w:rFonts w:hint="eastAsia" w:ascii="楷体" w:hAnsi="楷体" w:eastAsia="楷体" w:cs="楷体"/>
                <w:sz w:val="24"/>
                <w:szCs w:val="24"/>
              </w:rPr>
              <w:t>提供了物体打击应急预案、机械伤害应急预案、火灾应急预案、触电事故应急预案、生产车间中暑应急预案、食物中毒应急抢救方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应急设施配置：在厂区内、办公场所内、车间内、仓库内均配备了灭火器、消防栓等消防设施，均在有效期内，状态良好。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20.1.15</w:t>
            </w:r>
            <w:r>
              <w:rPr>
                <w:rFonts w:hint="eastAsia" w:ascii="楷体" w:hAnsi="楷体" w:eastAsia="楷体" w:cs="楷体"/>
                <w:sz w:val="24"/>
                <w:szCs w:val="24"/>
              </w:rPr>
              <w:t>日的《物体打击应急救援预案演练记录》，参加人员各岗位人员；记录演练过程、急救措施等内容。</w:t>
            </w:r>
          </w:p>
          <w:p>
            <w:pPr>
              <w:spacing w:line="360" w:lineRule="auto"/>
              <w:rPr>
                <w:rFonts w:ascii="楷体" w:hAnsi="楷体" w:eastAsia="楷体" w:cs="楷体"/>
                <w:sz w:val="24"/>
                <w:szCs w:val="24"/>
              </w:rPr>
            </w:pPr>
            <w:r>
              <w:rPr>
                <w:rFonts w:hint="eastAsia" w:ascii="楷体" w:hAnsi="楷体" w:eastAsia="楷体" w:cs="楷体"/>
                <w:sz w:val="24"/>
                <w:szCs w:val="24"/>
              </w:rPr>
              <w:t>评价：组织指挥有序，项目岗位配合较好，达到了预定目标，演练的效果较好。人员的速度较快，及时按照预定方案对事故处理人员进行保护。</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再查20</w:t>
            </w:r>
            <w:r>
              <w:rPr>
                <w:rFonts w:hint="eastAsia" w:ascii="楷体" w:hAnsi="楷体" w:eastAsia="楷体" w:cs="楷体"/>
                <w:sz w:val="24"/>
                <w:szCs w:val="24"/>
                <w:lang w:val="en-US" w:eastAsia="zh-CN"/>
              </w:rPr>
              <w:t>20.1.15</w:t>
            </w:r>
            <w:r>
              <w:rPr>
                <w:rFonts w:hint="eastAsia" w:ascii="楷体" w:hAnsi="楷体" w:eastAsia="楷体" w:cs="楷体"/>
                <w:sz w:val="24"/>
                <w:szCs w:val="24"/>
              </w:rPr>
              <w:t>日的《火灾事故应急救援预案演练》，20</w:t>
            </w:r>
            <w:r>
              <w:rPr>
                <w:rFonts w:hint="eastAsia" w:ascii="楷体" w:hAnsi="楷体" w:eastAsia="楷体" w:cs="楷体"/>
                <w:sz w:val="24"/>
                <w:szCs w:val="24"/>
                <w:lang w:val="en-US" w:eastAsia="zh-CN"/>
              </w:rPr>
              <w:t>20.1.17</w:t>
            </w:r>
            <w:r>
              <w:rPr>
                <w:rFonts w:hint="eastAsia" w:ascii="楷体" w:hAnsi="楷体" w:eastAsia="楷体" w:cs="楷体"/>
                <w:sz w:val="24"/>
                <w:szCs w:val="24"/>
              </w:rPr>
              <w:t>日的《触电事故应急救援预案演练记录》，情况基本同上。</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现场巡视办公区有灭火器，均有效；车间配有多个灭火器和消防栓，均有效。</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生产车间内配有消防栓、水龙带；车间、仓库配有干粉灭火器等消防设施。</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查到“消防器材台账及检查记录”，</w:t>
            </w:r>
            <w:r>
              <w:rPr>
                <w:rFonts w:hint="eastAsia" w:ascii="楷体" w:hAnsi="楷体" w:eastAsia="楷体" w:cs="Arial"/>
                <w:bCs/>
                <w:sz w:val="24"/>
                <w:szCs w:val="24"/>
                <w:lang w:val="en-US" w:eastAsia="zh-CN"/>
              </w:rPr>
              <w:t>2020.5.27</w:t>
            </w:r>
            <w:r>
              <w:rPr>
                <w:rFonts w:hint="eastAsia" w:ascii="楷体" w:hAnsi="楷体" w:eastAsia="楷体" w:cs="Arial"/>
                <w:bCs/>
                <w:sz w:val="24"/>
                <w:szCs w:val="24"/>
              </w:rPr>
              <w:t>日</w:t>
            </w:r>
            <w:r>
              <w:rPr>
                <w:rFonts w:hint="eastAsia" w:ascii="楷体" w:hAnsi="楷体" w:eastAsia="楷体" w:cs="Arial"/>
                <w:bCs/>
                <w:sz w:val="24"/>
                <w:szCs w:val="24"/>
                <w:lang w:val="en-US" w:eastAsia="zh-CN"/>
              </w:rPr>
              <w:t>杨金东</w:t>
            </w:r>
            <w:r>
              <w:rPr>
                <w:rFonts w:hint="eastAsia" w:ascii="楷体" w:hAnsi="楷体" w:eastAsia="楷体" w:cs="Arial"/>
                <w:bCs/>
                <w:sz w:val="24"/>
                <w:szCs w:val="24"/>
              </w:rPr>
              <w:t>对车间的灭火器及消防箱进行了检查，结果正常。</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自体系运行以来尚未发生紧急情况。</w:t>
            </w:r>
          </w:p>
          <w:p>
            <w:pPr>
              <w:tabs>
                <w:tab w:val="left" w:pos="6597"/>
              </w:tabs>
              <w:spacing w:line="360" w:lineRule="auto"/>
              <w:ind w:firstLine="480" w:firstLineChars="200"/>
              <w:rPr>
                <w:rFonts w:hint="eastAsia" w:ascii="楷体" w:hAnsi="楷体" w:eastAsia="楷体" w:cs="楷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宋体"/>
                <w:sz w:val="24"/>
                <w:szCs w:val="24"/>
              </w:rPr>
            </w:pPr>
            <w:r>
              <w:rPr>
                <w:rFonts w:hint="eastAsia" w:ascii="楷体" w:hAnsi="楷体" w:eastAsia="楷体" w:cs="宋体"/>
                <w:sz w:val="24"/>
                <w:szCs w:val="24"/>
              </w:rPr>
              <w:t>绩效测量和监视</w:t>
            </w:r>
          </w:p>
        </w:tc>
        <w:tc>
          <w:tcPr>
            <w:tcW w:w="1311" w:type="dxa"/>
          </w:tcPr>
          <w:p>
            <w:pPr>
              <w:spacing w:line="360" w:lineRule="auto"/>
              <w:rPr>
                <w:rFonts w:ascii="楷体" w:hAnsi="楷体" w:eastAsia="楷体" w:cs="宋体"/>
                <w:sz w:val="24"/>
                <w:szCs w:val="24"/>
              </w:rPr>
            </w:pPr>
            <w:r>
              <w:rPr>
                <w:rFonts w:hint="eastAsia" w:ascii="楷体" w:hAnsi="楷体" w:eastAsia="楷体" w:cs="宋体"/>
                <w:sz w:val="24"/>
                <w:szCs w:val="24"/>
              </w:rPr>
              <w:t>E</w:t>
            </w:r>
            <w:r>
              <w:rPr>
                <w:rFonts w:hint="eastAsia" w:ascii="楷体" w:hAnsi="楷体" w:eastAsia="楷体" w:cs="宋体"/>
                <w:sz w:val="24"/>
                <w:szCs w:val="24"/>
                <w:lang w:val="en-US" w:eastAsia="zh-CN"/>
              </w:rPr>
              <w:t>O</w:t>
            </w:r>
            <w:r>
              <w:rPr>
                <w:rFonts w:hint="eastAsia" w:ascii="楷体" w:hAnsi="楷体" w:eastAsia="楷体" w:cs="宋体"/>
                <w:sz w:val="24"/>
                <w:szCs w:val="24"/>
              </w:rPr>
              <w:t>9.1.1</w:t>
            </w:r>
          </w:p>
          <w:p>
            <w:pPr>
              <w:spacing w:line="360" w:lineRule="auto"/>
              <w:rPr>
                <w:rFonts w:ascii="楷体" w:hAnsi="楷体" w:eastAsia="楷体" w:cs="宋体"/>
                <w:sz w:val="24"/>
                <w:szCs w:val="24"/>
              </w:rPr>
            </w:pPr>
          </w:p>
        </w:tc>
        <w:tc>
          <w:tcPr>
            <w:tcW w:w="10004" w:type="dxa"/>
            <w:vAlign w:val="center"/>
          </w:tcPr>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管理体系目标考核按季度进行，抽查到20</w:t>
            </w:r>
            <w:r>
              <w:rPr>
                <w:rFonts w:hint="eastAsia" w:ascii="楷体" w:hAnsi="楷体" w:eastAsia="楷体" w:cs="宋体"/>
                <w:sz w:val="24"/>
                <w:szCs w:val="24"/>
                <w:lang w:val="en-US" w:eastAsia="zh-CN"/>
              </w:rPr>
              <w:t>20</w:t>
            </w:r>
            <w:r>
              <w:rPr>
                <w:rFonts w:hint="eastAsia" w:ascii="楷体" w:hAnsi="楷体" w:eastAsia="楷体" w:cs="宋体"/>
                <w:sz w:val="24"/>
                <w:szCs w:val="24"/>
              </w:rPr>
              <w:t>年6月</w:t>
            </w:r>
            <w:r>
              <w:rPr>
                <w:rFonts w:hint="eastAsia" w:ascii="楷体" w:hAnsi="楷体" w:eastAsia="楷体" w:cs="宋体"/>
                <w:sz w:val="24"/>
                <w:szCs w:val="24"/>
                <w:lang w:val="en-US" w:eastAsia="zh-CN"/>
              </w:rPr>
              <w:t>10</w:t>
            </w:r>
            <w:r>
              <w:rPr>
                <w:rFonts w:hint="eastAsia" w:ascii="楷体" w:hAnsi="楷体" w:eastAsia="楷体" w:cs="宋体"/>
                <w:sz w:val="24"/>
                <w:szCs w:val="24"/>
              </w:rPr>
              <w:t>日目标考核记录，经考核公司和分解各部门管理目标均已完成。</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2020.6.10</w:t>
            </w:r>
            <w:r>
              <w:rPr>
                <w:rFonts w:hint="eastAsia" w:ascii="楷体" w:hAnsi="楷体" w:eastAsia="楷体" w:cs="宋体"/>
                <w:sz w:val="24"/>
                <w:szCs w:val="24"/>
              </w:rPr>
              <w:t>“环境管理目标、指标及其管理方案完成情况”，检查考核已完成，考核人</w:t>
            </w:r>
            <w:r>
              <w:rPr>
                <w:rFonts w:hint="eastAsia" w:ascii="楷体" w:hAnsi="楷体" w:eastAsia="楷体" w:cs="Arial"/>
                <w:bCs/>
                <w:sz w:val="24"/>
                <w:szCs w:val="24"/>
                <w:lang w:val="en-US" w:eastAsia="zh-CN"/>
              </w:rPr>
              <w:t>杨金东</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2020</w:t>
            </w:r>
            <w:r>
              <w:rPr>
                <w:rFonts w:hint="eastAsia" w:ascii="楷体" w:hAnsi="楷体" w:eastAsia="楷体" w:cs="宋体"/>
                <w:sz w:val="24"/>
                <w:szCs w:val="24"/>
              </w:rPr>
              <w:t>年6月</w:t>
            </w:r>
            <w:r>
              <w:rPr>
                <w:rFonts w:hint="eastAsia" w:ascii="楷体" w:hAnsi="楷体" w:eastAsia="楷体" w:cs="宋体"/>
                <w:sz w:val="24"/>
                <w:szCs w:val="24"/>
                <w:lang w:val="en-US" w:eastAsia="zh-CN"/>
              </w:rPr>
              <w:t>10</w:t>
            </w:r>
            <w:r>
              <w:rPr>
                <w:rFonts w:hint="eastAsia" w:ascii="楷体" w:hAnsi="楷体" w:eastAsia="楷体" w:cs="宋体"/>
                <w:sz w:val="24"/>
                <w:szCs w:val="24"/>
              </w:rPr>
              <w:t>日“职业健康安全管理目标及方案完成情况”，检查考核已完成，考核人</w:t>
            </w:r>
            <w:r>
              <w:rPr>
                <w:rFonts w:hint="eastAsia" w:ascii="楷体" w:hAnsi="楷体" w:eastAsia="楷体" w:cs="Arial"/>
                <w:bCs/>
                <w:sz w:val="24"/>
                <w:szCs w:val="24"/>
                <w:lang w:val="en-US" w:eastAsia="zh-CN"/>
              </w:rPr>
              <w:t>杨金东</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w:t>
            </w:r>
            <w:r>
              <w:rPr>
                <w:rFonts w:hint="eastAsia" w:ascii="楷体" w:hAnsi="楷体" w:eastAsia="楷体" w:cs="宋体"/>
                <w:sz w:val="24"/>
                <w:szCs w:val="24"/>
                <w:lang w:val="en-US" w:eastAsia="zh-CN"/>
              </w:rPr>
              <w:t>2020.4月</w:t>
            </w:r>
            <w:r>
              <w:rPr>
                <w:rFonts w:hint="eastAsia" w:ascii="楷体" w:hAnsi="楷体" w:eastAsia="楷体" w:cs="宋体"/>
                <w:sz w:val="24"/>
                <w:szCs w:val="24"/>
              </w:rPr>
              <w:t>、</w:t>
            </w:r>
            <w:r>
              <w:rPr>
                <w:rFonts w:hint="eastAsia" w:ascii="楷体" w:hAnsi="楷体" w:eastAsia="楷体" w:cs="宋体"/>
                <w:sz w:val="24"/>
                <w:szCs w:val="24"/>
                <w:lang w:val="en-US" w:eastAsia="zh-CN"/>
              </w:rPr>
              <w:t>2020.5月</w:t>
            </w:r>
            <w:r>
              <w:rPr>
                <w:rFonts w:hint="eastAsia" w:ascii="楷体" w:hAnsi="楷体" w:eastAsia="楷体" w:cs="宋体"/>
                <w:sz w:val="24"/>
                <w:szCs w:val="24"/>
              </w:rPr>
              <w:t>、</w:t>
            </w:r>
            <w:r>
              <w:rPr>
                <w:rFonts w:hint="eastAsia" w:ascii="楷体" w:hAnsi="楷体" w:eastAsia="楷体" w:cs="宋体"/>
                <w:sz w:val="24"/>
                <w:szCs w:val="24"/>
                <w:lang w:val="en-US" w:eastAsia="zh-CN"/>
              </w:rPr>
              <w:t>2020.6月</w:t>
            </w:r>
            <w:r>
              <w:rPr>
                <w:rFonts w:hint="eastAsia" w:ascii="楷体" w:hAnsi="楷体" w:eastAsia="楷体" w:cs="宋体"/>
                <w:sz w:val="24"/>
                <w:szCs w:val="24"/>
              </w:rPr>
              <w:t>检查结果均正常。</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napToGrid w:val="0"/>
              <w:spacing w:line="360" w:lineRule="auto"/>
              <w:ind w:firstLine="480" w:firstLineChars="200"/>
              <w:jc w:val="left"/>
              <w:rPr>
                <w:rFonts w:hint="eastAsia" w:ascii="楷体" w:hAnsi="楷体" w:eastAsia="楷体" w:cs="宋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p>
            <w:pPr>
              <w:snapToGrid w:val="0"/>
              <w:spacing w:line="360" w:lineRule="auto"/>
              <w:ind w:firstLine="480" w:firstLineChars="200"/>
              <w:jc w:val="left"/>
              <w:rPr>
                <w:rFonts w:hint="eastAsia" w:ascii="楷体" w:hAnsi="楷体" w:eastAsia="楷体" w:cs="宋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宋体"/>
                <w:sz w:val="24"/>
                <w:szCs w:val="24"/>
              </w:rPr>
            </w:pPr>
            <w:r>
              <w:rPr>
                <w:rFonts w:hint="eastAsia" w:ascii="楷体" w:hAnsi="楷体" w:eastAsia="楷体" w:cs="宋体"/>
                <w:sz w:val="24"/>
                <w:szCs w:val="24"/>
              </w:rPr>
              <w:t>合规性评价</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cs="Arial"/>
                <w:sz w:val="24"/>
                <w:szCs w:val="24"/>
              </w:rPr>
              <w:t>9.1.2</w:t>
            </w:r>
          </w:p>
          <w:p>
            <w:pPr>
              <w:spacing w:line="360" w:lineRule="auto"/>
              <w:rPr>
                <w:rFonts w:ascii="楷体" w:hAnsi="楷体" w:eastAsia="楷体"/>
                <w:sz w:val="24"/>
                <w:szCs w:val="24"/>
              </w:rPr>
            </w:pPr>
          </w:p>
          <w:p>
            <w:pPr>
              <w:spacing w:line="360" w:lineRule="auto"/>
              <w:rPr>
                <w:rFonts w:ascii="楷体" w:hAnsi="楷体" w:eastAsia="楷体" w:cs="宋体"/>
                <w:sz w:val="24"/>
                <w:szCs w:val="24"/>
              </w:rPr>
            </w:pPr>
          </w:p>
        </w:tc>
        <w:tc>
          <w:tcPr>
            <w:tcW w:w="10004" w:type="dxa"/>
            <w:vAlign w:val="center"/>
          </w:tcPr>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编制了《合规性评价程序》，其中规定了对本公司法规及其他要求的合规性评价的要求。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before="156" w:beforeLines="50" w:after="50" w:line="480" w:lineRule="auto"/>
              <w:rPr>
                <w:rFonts w:ascii="楷体" w:hAnsi="楷体" w:eastAsia="楷体" w:cs="宋体"/>
                <w:sz w:val="24"/>
                <w:szCs w:val="24"/>
              </w:rPr>
            </w:pPr>
            <w:r>
              <w:rPr>
                <w:rFonts w:hint="eastAsia" w:ascii="楷体" w:hAnsi="楷体" w:eastAsia="楷体" w:cs="楷体"/>
                <w:sz w:val="24"/>
              </w:rPr>
              <w:t>参与评价人员:</w:t>
            </w:r>
            <w:r>
              <w:rPr>
                <w:rFonts w:hint="eastAsia" w:ascii="楷体" w:hAnsi="楷体" w:eastAsia="楷体" w:cs="楷体"/>
                <w:sz w:val="24"/>
                <w:lang w:eastAsia="zh-CN"/>
              </w:rPr>
              <w:t>唐利花、肖海军、熊焰玲、邓旺刚</w:t>
            </w:r>
            <w:r>
              <w:rPr>
                <w:rFonts w:hint="eastAsia" w:ascii="楷体" w:hAnsi="楷体" w:eastAsia="楷体" w:cs="宋体"/>
                <w:sz w:val="24"/>
                <w:szCs w:val="24"/>
              </w:rPr>
              <w:t>，评价日期：20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2</w:t>
            </w:r>
            <w:r>
              <w:rPr>
                <w:rFonts w:hint="eastAsia" w:ascii="楷体" w:hAnsi="楷体" w:eastAsia="楷体" w:cs="宋体"/>
                <w:sz w:val="24"/>
                <w:szCs w:val="24"/>
              </w:rPr>
              <w:t>月2</w:t>
            </w:r>
            <w:r>
              <w:rPr>
                <w:rFonts w:hint="eastAsia" w:ascii="楷体" w:hAnsi="楷体" w:eastAsia="楷体" w:cs="宋体"/>
                <w:sz w:val="24"/>
                <w:szCs w:val="24"/>
                <w:lang w:val="en-US" w:eastAsia="zh-CN"/>
              </w:rPr>
              <w:t>1</w:t>
            </w:r>
            <w:r>
              <w:rPr>
                <w:rFonts w:hint="eastAsia" w:ascii="楷体" w:hAnsi="楷体" w:eastAsia="楷体" w:cs="宋体"/>
                <w:sz w:val="24"/>
                <w:szCs w:val="24"/>
              </w:rPr>
              <w:t>日。</w:t>
            </w:r>
          </w:p>
          <w:p>
            <w:pPr>
              <w:spacing w:line="360" w:lineRule="auto"/>
              <w:jc w:val="left"/>
              <w:rPr>
                <w:rFonts w:hint="eastAsia" w:ascii="楷体" w:hAnsi="楷体" w:eastAsia="楷体" w:cs="宋体"/>
                <w:sz w:val="24"/>
                <w:szCs w:val="24"/>
              </w:rPr>
            </w:pPr>
            <w:r>
              <w:rPr>
                <w:rFonts w:hint="eastAsia" w:ascii="楷体" w:hAnsi="楷体" w:eastAsia="楷体" w:cs="宋体"/>
                <w:sz w:val="24"/>
                <w:szCs w:val="24"/>
              </w:rPr>
              <w:t>部门已对有关法规及其他要求进行识别、评价，满足要求。</w:t>
            </w:r>
          </w:p>
          <w:p>
            <w:pPr>
              <w:spacing w:line="360" w:lineRule="auto"/>
              <w:jc w:val="left"/>
              <w:rPr>
                <w:rFonts w:hint="eastAsia" w:ascii="楷体" w:hAnsi="楷体" w:eastAsia="楷体" w:cs="宋体"/>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bookmarkStart w:id="0" w:name="_GoBack"/>
      <w:bookmarkEnd w:id="0"/>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531E"/>
    <w:rsid w:val="0003373A"/>
    <w:rsid w:val="000363EC"/>
    <w:rsid w:val="0004069A"/>
    <w:rsid w:val="000412F6"/>
    <w:rsid w:val="00045270"/>
    <w:rsid w:val="00046121"/>
    <w:rsid w:val="0004642B"/>
    <w:rsid w:val="00047E49"/>
    <w:rsid w:val="00050685"/>
    <w:rsid w:val="0005199E"/>
    <w:rsid w:val="0005697E"/>
    <w:rsid w:val="000579CF"/>
    <w:rsid w:val="00072B81"/>
    <w:rsid w:val="00076CD3"/>
    <w:rsid w:val="00080C1D"/>
    <w:rsid w:val="00082216"/>
    <w:rsid w:val="00082398"/>
    <w:rsid w:val="00083721"/>
    <w:rsid w:val="000849D2"/>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E09"/>
    <w:rsid w:val="000E2FCD"/>
    <w:rsid w:val="000E4B40"/>
    <w:rsid w:val="000E7848"/>
    <w:rsid w:val="000E7EF7"/>
    <w:rsid w:val="000F2483"/>
    <w:rsid w:val="000F35F1"/>
    <w:rsid w:val="000F7D53"/>
    <w:rsid w:val="0010182C"/>
    <w:rsid w:val="00101F08"/>
    <w:rsid w:val="001022F1"/>
    <w:rsid w:val="001037D5"/>
    <w:rsid w:val="0010381F"/>
    <w:rsid w:val="00106B0C"/>
    <w:rsid w:val="00107942"/>
    <w:rsid w:val="001103A2"/>
    <w:rsid w:val="00111BFD"/>
    <w:rsid w:val="00112860"/>
    <w:rsid w:val="00112EBF"/>
    <w:rsid w:val="00112EF4"/>
    <w:rsid w:val="00145688"/>
    <w:rsid w:val="001478E0"/>
    <w:rsid w:val="00150852"/>
    <w:rsid w:val="0015203B"/>
    <w:rsid w:val="00152F47"/>
    <w:rsid w:val="001555E4"/>
    <w:rsid w:val="00160A2C"/>
    <w:rsid w:val="00161106"/>
    <w:rsid w:val="001677C1"/>
    <w:rsid w:val="001714F7"/>
    <w:rsid w:val="00171DF0"/>
    <w:rsid w:val="001737D0"/>
    <w:rsid w:val="00173DEB"/>
    <w:rsid w:val="00176F70"/>
    <w:rsid w:val="00182C8F"/>
    <w:rsid w:val="00183D74"/>
    <w:rsid w:val="001904A8"/>
    <w:rsid w:val="001918ED"/>
    <w:rsid w:val="00192A7F"/>
    <w:rsid w:val="001A2536"/>
    <w:rsid w:val="001A2D7F"/>
    <w:rsid w:val="001A3DF8"/>
    <w:rsid w:val="001A572D"/>
    <w:rsid w:val="001A78C2"/>
    <w:rsid w:val="001B6CE1"/>
    <w:rsid w:val="001C1FDD"/>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59CF"/>
    <w:rsid w:val="002C1ACE"/>
    <w:rsid w:val="002C1AF9"/>
    <w:rsid w:val="002C3E0D"/>
    <w:rsid w:val="002D41FB"/>
    <w:rsid w:val="002D4F62"/>
    <w:rsid w:val="002D70C3"/>
    <w:rsid w:val="002E0587"/>
    <w:rsid w:val="002E1E1D"/>
    <w:rsid w:val="002F05FA"/>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D0FA1"/>
    <w:rsid w:val="003D42CB"/>
    <w:rsid w:val="003D49B2"/>
    <w:rsid w:val="003D51E8"/>
    <w:rsid w:val="003D54BE"/>
    <w:rsid w:val="003D6BE3"/>
    <w:rsid w:val="003D736E"/>
    <w:rsid w:val="003E03C4"/>
    <w:rsid w:val="003E0E52"/>
    <w:rsid w:val="003F20A5"/>
    <w:rsid w:val="003F233D"/>
    <w:rsid w:val="003F7D59"/>
    <w:rsid w:val="00400B96"/>
    <w:rsid w:val="00401BD6"/>
    <w:rsid w:val="0040581E"/>
    <w:rsid w:val="00405D5F"/>
    <w:rsid w:val="00410914"/>
    <w:rsid w:val="00410B9E"/>
    <w:rsid w:val="00411B69"/>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5FE1"/>
    <w:rsid w:val="00474064"/>
    <w:rsid w:val="00475491"/>
    <w:rsid w:val="004757C9"/>
    <w:rsid w:val="0047675F"/>
    <w:rsid w:val="00480B65"/>
    <w:rsid w:val="004869FB"/>
    <w:rsid w:val="00491735"/>
    <w:rsid w:val="00494A46"/>
    <w:rsid w:val="00496016"/>
    <w:rsid w:val="004B1EC1"/>
    <w:rsid w:val="004B217F"/>
    <w:rsid w:val="004B3600"/>
    <w:rsid w:val="004B3E7F"/>
    <w:rsid w:val="004B437C"/>
    <w:rsid w:val="004B768D"/>
    <w:rsid w:val="004C07FE"/>
    <w:rsid w:val="004D228E"/>
    <w:rsid w:val="004D3E4C"/>
    <w:rsid w:val="004D4610"/>
    <w:rsid w:val="004D4FFE"/>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760F"/>
    <w:rsid w:val="005E4698"/>
    <w:rsid w:val="005E59EE"/>
    <w:rsid w:val="005E6BC0"/>
    <w:rsid w:val="005F3F52"/>
    <w:rsid w:val="005F4B95"/>
    <w:rsid w:val="005F4F35"/>
    <w:rsid w:val="005F6C65"/>
    <w:rsid w:val="00600F02"/>
    <w:rsid w:val="0060444D"/>
    <w:rsid w:val="006060F2"/>
    <w:rsid w:val="006122FC"/>
    <w:rsid w:val="00613D58"/>
    <w:rsid w:val="00623F91"/>
    <w:rsid w:val="00624138"/>
    <w:rsid w:val="0062550A"/>
    <w:rsid w:val="006255FD"/>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640C"/>
    <w:rsid w:val="006777A2"/>
    <w:rsid w:val="00680291"/>
    <w:rsid w:val="006836D9"/>
    <w:rsid w:val="00686699"/>
    <w:rsid w:val="00686D0C"/>
    <w:rsid w:val="0069072E"/>
    <w:rsid w:val="006916C3"/>
    <w:rsid w:val="00695256"/>
    <w:rsid w:val="00695570"/>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E0DB3"/>
    <w:rsid w:val="006E4221"/>
    <w:rsid w:val="006E678B"/>
    <w:rsid w:val="006F50AA"/>
    <w:rsid w:val="006F5843"/>
    <w:rsid w:val="006F599A"/>
    <w:rsid w:val="006F5F4B"/>
    <w:rsid w:val="006F7580"/>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5E16"/>
    <w:rsid w:val="0077198E"/>
    <w:rsid w:val="00773E78"/>
    <w:rsid w:val="007757F3"/>
    <w:rsid w:val="00777C2A"/>
    <w:rsid w:val="007815DC"/>
    <w:rsid w:val="00786F84"/>
    <w:rsid w:val="00787A58"/>
    <w:rsid w:val="00793469"/>
    <w:rsid w:val="007943A2"/>
    <w:rsid w:val="00796E4A"/>
    <w:rsid w:val="007A47FB"/>
    <w:rsid w:val="007A4F24"/>
    <w:rsid w:val="007A7056"/>
    <w:rsid w:val="007A7075"/>
    <w:rsid w:val="007B106B"/>
    <w:rsid w:val="007B275D"/>
    <w:rsid w:val="007D078F"/>
    <w:rsid w:val="007D2D21"/>
    <w:rsid w:val="007D4928"/>
    <w:rsid w:val="007E4877"/>
    <w:rsid w:val="007E6AEB"/>
    <w:rsid w:val="007F01EC"/>
    <w:rsid w:val="007F522E"/>
    <w:rsid w:val="007F53E6"/>
    <w:rsid w:val="007F6F24"/>
    <w:rsid w:val="007F7DF2"/>
    <w:rsid w:val="00806CD1"/>
    <w:rsid w:val="008079FA"/>
    <w:rsid w:val="00810D58"/>
    <w:rsid w:val="00812EF4"/>
    <w:rsid w:val="008154F4"/>
    <w:rsid w:val="00823D48"/>
    <w:rsid w:val="0082611C"/>
    <w:rsid w:val="00830A4D"/>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76D8"/>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315D"/>
    <w:rsid w:val="008D38A7"/>
    <w:rsid w:val="008D41C3"/>
    <w:rsid w:val="008E0630"/>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71CF"/>
    <w:rsid w:val="00983B0D"/>
    <w:rsid w:val="00984342"/>
    <w:rsid w:val="009858FB"/>
    <w:rsid w:val="00985FDD"/>
    <w:rsid w:val="00987356"/>
    <w:rsid w:val="009973B4"/>
    <w:rsid w:val="009A3C46"/>
    <w:rsid w:val="009A76A1"/>
    <w:rsid w:val="009B3E6E"/>
    <w:rsid w:val="009B4611"/>
    <w:rsid w:val="009B7EB8"/>
    <w:rsid w:val="009C22BC"/>
    <w:rsid w:val="009C4C1E"/>
    <w:rsid w:val="009C7743"/>
    <w:rsid w:val="009D1D57"/>
    <w:rsid w:val="009D1FC3"/>
    <w:rsid w:val="009D48E6"/>
    <w:rsid w:val="009D6D70"/>
    <w:rsid w:val="009D7E11"/>
    <w:rsid w:val="009E30DA"/>
    <w:rsid w:val="009E3C7A"/>
    <w:rsid w:val="009E6193"/>
    <w:rsid w:val="009E66E7"/>
    <w:rsid w:val="009E6BE6"/>
    <w:rsid w:val="009E7DD1"/>
    <w:rsid w:val="009F609F"/>
    <w:rsid w:val="009F7EED"/>
    <w:rsid w:val="00A01006"/>
    <w:rsid w:val="00A01189"/>
    <w:rsid w:val="00A05352"/>
    <w:rsid w:val="00A1124F"/>
    <w:rsid w:val="00A115EA"/>
    <w:rsid w:val="00A11894"/>
    <w:rsid w:val="00A138EC"/>
    <w:rsid w:val="00A1535A"/>
    <w:rsid w:val="00A169D0"/>
    <w:rsid w:val="00A22858"/>
    <w:rsid w:val="00A26E44"/>
    <w:rsid w:val="00A31197"/>
    <w:rsid w:val="00A34B9E"/>
    <w:rsid w:val="00A34EEE"/>
    <w:rsid w:val="00A4102F"/>
    <w:rsid w:val="00A43B08"/>
    <w:rsid w:val="00A458FE"/>
    <w:rsid w:val="00A521A5"/>
    <w:rsid w:val="00A53106"/>
    <w:rsid w:val="00A6128F"/>
    <w:rsid w:val="00A65076"/>
    <w:rsid w:val="00A656F9"/>
    <w:rsid w:val="00A672B4"/>
    <w:rsid w:val="00A7595A"/>
    <w:rsid w:val="00A801DE"/>
    <w:rsid w:val="00A82DA2"/>
    <w:rsid w:val="00A84958"/>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71FB"/>
    <w:rsid w:val="00AC763E"/>
    <w:rsid w:val="00AD1C7F"/>
    <w:rsid w:val="00AD333E"/>
    <w:rsid w:val="00AD6F34"/>
    <w:rsid w:val="00AD78E6"/>
    <w:rsid w:val="00AF0A5E"/>
    <w:rsid w:val="00AF0AAB"/>
    <w:rsid w:val="00AF156F"/>
    <w:rsid w:val="00AF565E"/>
    <w:rsid w:val="00AF616B"/>
    <w:rsid w:val="00B025C6"/>
    <w:rsid w:val="00B0685B"/>
    <w:rsid w:val="00B110E1"/>
    <w:rsid w:val="00B12E5D"/>
    <w:rsid w:val="00B17A56"/>
    <w:rsid w:val="00B20E72"/>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7EAB"/>
    <w:rsid w:val="00B60132"/>
    <w:rsid w:val="00B64949"/>
    <w:rsid w:val="00B656EA"/>
    <w:rsid w:val="00B72204"/>
    <w:rsid w:val="00B81284"/>
    <w:rsid w:val="00B8202D"/>
    <w:rsid w:val="00B84589"/>
    <w:rsid w:val="00B857F1"/>
    <w:rsid w:val="00B87BB8"/>
    <w:rsid w:val="00B929FD"/>
    <w:rsid w:val="00B944DA"/>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D33FC"/>
    <w:rsid w:val="00BD5727"/>
    <w:rsid w:val="00BE6A10"/>
    <w:rsid w:val="00BF010C"/>
    <w:rsid w:val="00BF58D5"/>
    <w:rsid w:val="00BF597E"/>
    <w:rsid w:val="00C028B7"/>
    <w:rsid w:val="00C0299D"/>
    <w:rsid w:val="00C03098"/>
    <w:rsid w:val="00C0339F"/>
    <w:rsid w:val="00C03F82"/>
    <w:rsid w:val="00C04229"/>
    <w:rsid w:val="00C14685"/>
    <w:rsid w:val="00C173F0"/>
    <w:rsid w:val="00C20BEE"/>
    <w:rsid w:val="00C239C2"/>
    <w:rsid w:val="00C31C73"/>
    <w:rsid w:val="00C37C6A"/>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A1451"/>
    <w:rsid w:val="00CA22B6"/>
    <w:rsid w:val="00CA5A02"/>
    <w:rsid w:val="00CB0B69"/>
    <w:rsid w:val="00CB11CC"/>
    <w:rsid w:val="00CB260B"/>
    <w:rsid w:val="00CC0FFF"/>
    <w:rsid w:val="00CC4E43"/>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53CD"/>
    <w:rsid w:val="00DA644D"/>
    <w:rsid w:val="00DA7616"/>
    <w:rsid w:val="00DB45DC"/>
    <w:rsid w:val="00DC10DD"/>
    <w:rsid w:val="00DC44CE"/>
    <w:rsid w:val="00DC4F7D"/>
    <w:rsid w:val="00DC7FE4"/>
    <w:rsid w:val="00DD1C8E"/>
    <w:rsid w:val="00DD3E98"/>
    <w:rsid w:val="00DD55F5"/>
    <w:rsid w:val="00DD63F3"/>
    <w:rsid w:val="00DE146D"/>
    <w:rsid w:val="00DE2D80"/>
    <w:rsid w:val="00DE6FCE"/>
    <w:rsid w:val="00DF3ECC"/>
    <w:rsid w:val="00DF4787"/>
    <w:rsid w:val="00DF76DB"/>
    <w:rsid w:val="00E01E0F"/>
    <w:rsid w:val="00E02739"/>
    <w:rsid w:val="00E02895"/>
    <w:rsid w:val="00E038E4"/>
    <w:rsid w:val="00E10567"/>
    <w:rsid w:val="00E12BF8"/>
    <w:rsid w:val="00E13D9A"/>
    <w:rsid w:val="00E15419"/>
    <w:rsid w:val="00E21843"/>
    <w:rsid w:val="00E22C06"/>
    <w:rsid w:val="00E32D13"/>
    <w:rsid w:val="00E36143"/>
    <w:rsid w:val="00E43822"/>
    <w:rsid w:val="00E44012"/>
    <w:rsid w:val="00E440D7"/>
    <w:rsid w:val="00E442C3"/>
    <w:rsid w:val="00E524EE"/>
    <w:rsid w:val="00E54035"/>
    <w:rsid w:val="00E57BCE"/>
    <w:rsid w:val="00E62996"/>
    <w:rsid w:val="00E62EF3"/>
    <w:rsid w:val="00E63714"/>
    <w:rsid w:val="00E64A51"/>
    <w:rsid w:val="00E6690F"/>
    <w:rsid w:val="00E66E67"/>
    <w:rsid w:val="00E676F9"/>
    <w:rsid w:val="00E7040E"/>
    <w:rsid w:val="00E70928"/>
    <w:rsid w:val="00E764D2"/>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F0B04"/>
    <w:rsid w:val="00EF36E7"/>
    <w:rsid w:val="00EF462E"/>
    <w:rsid w:val="00F02671"/>
    <w:rsid w:val="00F03382"/>
    <w:rsid w:val="00F03B60"/>
    <w:rsid w:val="00F0431B"/>
    <w:rsid w:val="00F06AD8"/>
    <w:rsid w:val="00F06D09"/>
    <w:rsid w:val="00F11201"/>
    <w:rsid w:val="00F12249"/>
    <w:rsid w:val="00F14D99"/>
    <w:rsid w:val="00F23B35"/>
    <w:rsid w:val="00F23FF4"/>
    <w:rsid w:val="00F32CB9"/>
    <w:rsid w:val="00F33729"/>
    <w:rsid w:val="00F35CD7"/>
    <w:rsid w:val="00F3666E"/>
    <w:rsid w:val="00F42DA9"/>
    <w:rsid w:val="00F45E7F"/>
    <w:rsid w:val="00F507DD"/>
    <w:rsid w:val="00F51005"/>
    <w:rsid w:val="00F51B53"/>
    <w:rsid w:val="00F5492A"/>
    <w:rsid w:val="00F55C97"/>
    <w:rsid w:val="00F606E1"/>
    <w:rsid w:val="00F657C4"/>
    <w:rsid w:val="00F6739D"/>
    <w:rsid w:val="00F74DB4"/>
    <w:rsid w:val="00F763FF"/>
    <w:rsid w:val="00F80A5A"/>
    <w:rsid w:val="00F80C36"/>
    <w:rsid w:val="00F83639"/>
    <w:rsid w:val="00F840C3"/>
    <w:rsid w:val="00F842BF"/>
    <w:rsid w:val="00F856F5"/>
    <w:rsid w:val="00F87F8F"/>
    <w:rsid w:val="00F95049"/>
    <w:rsid w:val="00F956F5"/>
    <w:rsid w:val="00FA0535"/>
    <w:rsid w:val="00FA0833"/>
    <w:rsid w:val="00FA350D"/>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F5AC4"/>
    <w:rsid w:val="04A92582"/>
    <w:rsid w:val="080D1D4B"/>
    <w:rsid w:val="108219C2"/>
    <w:rsid w:val="15A84DDE"/>
    <w:rsid w:val="55104555"/>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25" w:firstLineChars="210"/>
    </w:pPr>
    <w:rPr>
      <w:spacing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7"/>
    <w:qFormat/>
    <w:uiPriority w:val="0"/>
    <w:rPr>
      <w:rFonts w:hint="eastAsia" w:ascii="宋体" w:hAnsi="宋体" w:eastAsia="宋体"/>
      <w:color w:val="000000"/>
      <w:sz w:val="24"/>
      <w:szCs w:val="24"/>
    </w:rPr>
  </w:style>
  <w:style w:type="character" w:customStyle="1" w:styleId="14">
    <w:name w:val="fontstyle21"/>
    <w:basedOn w:val="7"/>
    <w:qFormat/>
    <w:uiPriority w:val="0"/>
    <w:rPr>
      <w:rFonts w:hint="default" w:ascii="Times New Roman" w:hAnsi="Times New Roman" w:cs="Times New Roman"/>
      <w:color w:val="000000"/>
      <w:sz w:val="24"/>
      <w:szCs w:val="24"/>
    </w:rPr>
  </w:style>
  <w:style w:type="paragraph" w:customStyle="1" w:styleId="15">
    <w:name w:val="东方正文"/>
    <w:basedOn w:val="1"/>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D0E06-310D-49D5-B20C-AEE53857B253}">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2228</Words>
  <Characters>12706</Characters>
  <Lines>105</Lines>
  <Paragraphs>29</Paragraphs>
  <TotalTime>1</TotalTime>
  <ScaleCrop>false</ScaleCrop>
  <LinksUpToDate>false</LinksUpToDate>
  <CharactersWithSpaces>14905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2020-07-14T07:36:15Z</dcterms:modified>
  <cp:revision>1105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