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22"/>
        <w:gridCol w:w="312"/>
        <w:gridCol w:w="320"/>
        <w:gridCol w:w="389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西安东灿建设工程有限公司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卫平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0" w:name="审核范围"/>
            <w:r>
              <w:rPr>
                <w:sz w:val="21"/>
                <w:szCs w:val="21"/>
              </w:rPr>
              <w:t>Q：建材、照明器具销售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E：建材、照明器具销售所涉及的相关环境管理活动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O：建材、照明器具销售所涉及的相关职业健康安全管理活动</w:t>
            </w:r>
            <w:bookmarkEnd w:id="10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Q：29.08.03;29.11.03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E：29.08.03;29.11.03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2020年07月11日 上午至2020年07月11日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O:29.08.03,29.11.03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100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00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2020.7.10</w:t>
            </w: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30（午休12:00-13:00）</w:t>
            </w:r>
          </w:p>
        </w:tc>
        <w:tc>
          <w:tcPr>
            <w:tcW w:w="6665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/>
                <w:sz w:val="21"/>
                <w:szCs w:val="21"/>
              </w:rPr>
              <w:t xml:space="preserve">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/>
                <w:sz w:val="21"/>
                <w:szCs w:val="21"/>
              </w:rPr>
              <w:t xml:space="preserve">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6）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7）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8）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9）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10）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11）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12）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13）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杨珍全、文平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63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2020-07-10T07:22:43Z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