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合同编号：0344-2020</w:t>
      </w:r>
      <w:r>
        <w:rPr>
          <w:rFonts w:ascii="楷体" w:hAnsi="楷体" w:eastAsia="楷体"/>
          <w:color w:val="000000"/>
          <w:sz w:val="28"/>
          <w:szCs w:val="28"/>
        </w:rPr>
        <w:t>-Q</w:t>
      </w:r>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上海煜路电子科技有限公司</w:t>
      </w:r>
      <w:bookmarkEnd w:id="0"/>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417"/>
        <w:gridCol w:w="114"/>
        <w:gridCol w:w="1021"/>
        <w:gridCol w:w="1436"/>
        <w:gridCol w:w="815"/>
        <w:gridCol w:w="1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themeColor="text1"/>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审核方地址</w:t>
            </w:r>
          </w:p>
        </w:tc>
        <w:tc>
          <w:tcPr>
            <w:tcW w:w="548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72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联系电话</w:t>
            </w:r>
          </w:p>
        </w:tc>
        <w:tc>
          <w:tcPr>
            <w:tcW w:w="2214" w:type="dxa"/>
            <w:gridSpan w:val="3"/>
            <w:vAlign w:val="center"/>
          </w:tcPr>
          <w:p>
            <w:pPr>
              <w:rPr>
                <w:b/>
                <w:color w:val="000000"/>
                <w:sz w:val="20"/>
                <w:szCs w:val="20"/>
              </w:rPr>
            </w:pPr>
            <w:r>
              <w:rPr>
                <w:rFonts w:hint="eastAsia"/>
                <w:b/>
                <w:color w:val="000000" w:themeColor="text1"/>
                <w:sz w:val="20"/>
                <w:szCs w:val="20"/>
              </w:rPr>
              <w:t>010-51095332</w:t>
            </w:r>
          </w:p>
        </w:tc>
        <w:tc>
          <w:tcPr>
            <w:tcW w:w="1021" w:type="dxa"/>
            <w:vAlign w:val="center"/>
          </w:tcPr>
          <w:p>
            <w:pPr>
              <w:rPr>
                <w:b/>
                <w:color w:val="000000"/>
                <w:sz w:val="20"/>
                <w:szCs w:val="20"/>
              </w:rPr>
            </w:pPr>
            <w:r>
              <w:rPr>
                <w:rFonts w:hint="eastAsia"/>
                <w:b/>
                <w:color w:val="000000" w:themeColor="text1"/>
                <w:sz w:val="20"/>
                <w:szCs w:val="20"/>
              </w:rPr>
              <w:t>传真</w:t>
            </w:r>
          </w:p>
        </w:tc>
        <w:tc>
          <w:tcPr>
            <w:tcW w:w="1436" w:type="dxa"/>
            <w:vAlign w:val="center"/>
          </w:tcPr>
          <w:p>
            <w:pPr>
              <w:rPr>
                <w:b/>
                <w:color w:val="000000"/>
                <w:sz w:val="20"/>
                <w:szCs w:val="20"/>
              </w:rPr>
            </w:pPr>
            <w:r>
              <w:rPr>
                <w:b/>
                <w:color w:val="000000" w:themeColor="text1"/>
                <w:sz w:val="20"/>
                <w:szCs w:val="20"/>
              </w:rPr>
              <w:t>010-5351 6258</w:t>
            </w:r>
          </w:p>
        </w:tc>
        <w:tc>
          <w:tcPr>
            <w:tcW w:w="815" w:type="dxa"/>
            <w:vAlign w:val="center"/>
          </w:tcPr>
          <w:p>
            <w:pPr>
              <w:rPr>
                <w:b/>
                <w:color w:val="000000"/>
                <w:sz w:val="20"/>
                <w:szCs w:val="20"/>
              </w:rPr>
            </w:pPr>
            <w:r>
              <w:rPr>
                <w:rFonts w:hint="eastAsia"/>
                <w:b/>
                <w:color w:val="000000" w:themeColor="text1"/>
                <w:sz w:val="20"/>
                <w:szCs w:val="20"/>
              </w:rPr>
              <w:t>邮箱</w:t>
            </w:r>
          </w:p>
        </w:tc>
        <w:tc>
          <w:tcPr>
            <w:tcW w:w="2195"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r>
              <w:rPr>
                <w:rFonts w:hint="eastAsia"/>
                <w:b/>
                <w:color w:val="000000"/>
                <w:sz w:val="20"/>
                <w:szCs w:val="20"/>
              </w:rPr>
              <w:t>朱晓丽</w:t>
            </w:r>
          </w:p>
        </w:tc>
        <w:tc>
          <w:tcPr>
            <w:tcW w:w="851" w:type="dxa"/>
            <w:gridSpan w:val="2"/>
            <w:vAlign w:val="center"/>
          </w:tcPr>
          <w:p>
            <w:pPr>
              <w:rPr>
                <w:b/>
                <w:color w:val="000000"/>
                <w:sz w:val="20"/>
                <w:szCs w:val="20"/>
              </w:rPr>
            </w:pPr>
            <w:r>
              <w:rPr>
                <w:rFonts w:hint="eastAsia"/>
                <w:b/>
                <w:color w:val="000000"/>
                <w:sz w:val="20"/>
                <w:szCs w:val="20"/>
              </w:rPr>
              <w:t>组长</w:t>
            </w:r>
          </w:p>
        </w:tc>
        <w:tc>
          <w:tcPr>
            <w:tcW w:w="1417" w:type="dxa"/>
            <w:vAlign w:val="center"/>
          </w:tcPr>
          <w:p>
            <w:pPr>
              <w:rPr>
                <w:b/>
                <w:color w:val="000000"/>
                <w:sz w:val="20"/>
                <w:szCs w:val="20"/>
              </w:rPr>
            </w:pPr>
            <w:r>
              <w:rPr>
                <w:rFonts w:hint="eastAsia"/>
                <w:b/>
                <w:color w:val="000000"/>
                <w:sz w:val="20"/>
                <w:szCs w:val="20"/>
              </w:rPr>
              <w:t>女</w:t>
            </w:r>
          </w:p>
        </w:tc>
        <w:tc>
          <w:tcPr>
            <w:tcW w:w="3402" w:type="dxa"/>
            <w:gridSpan w:val="5"/>
            <w:vAlign w:val="center"/>
          </w:tcPr>
          <w:p>
            <w:pPr>
              <w:rPr>
                <w:b/>
                <w:color w:val="000000"/>
                <w:sz w:val="20"/>
                <w:szCs w:val="20"/>
              </w:rPr>
            </w:pPr>
            <w:r>
              <w:rPr>
                <w:b/>
                <w:color w:val="000000"/>
                <w:sz w:val="20"/>
                <w:szCs w:val="20"/>
              </w:rPr>
              <w:t>2018-N1QMS-2205805</w:t>
            </w:r>
          </w:p>
        </w:tc>
        <w:tc>
          <w:tcPr>
            <w:tcW w:w="2179" w:type="dxa"/>
            <w:gridSpan w:val="2"/>
            <w:vAlign w:val="center"/>
          </w:tcPr>
          <w:p>
            <w:pPr>
              <w:rPr>
                <w:b/>
                <w:color w:val="000000"/>
                <w:sz w:val="20"/>
                <w:szCs w:val="20"/>
              </w:rPr>
            </w:pPr>
            <w:r>
              <w:rPr>
                <w:rFonts w:hint="eastAsia"/>
                <w:b/>
                <w:color w:val="000000"/>
                <w:sz w:val="20"/>
                <w:szCs w:val="20"/>
              </w:rPr>
              <w:t>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rPr>
                <w:b/>
                <w:color w:val="000000"/>
                <w:sz w:val="20"/>
                <w:szCs w:val="20"/>
              </w:rPr>
            </w:pPr>
            <w:r>
              <w:rPr>
                <w:rFonts w:hint="eastAsia"/>
                <w:b/>
                <w:color w:val="000000"/>
                <w:sz w:val="20"/>
                <w:szCs w:val="20"/>
              </w:rPr>
              <w:t>杨杰</w:t>
            </w:r>
          </w:p>
        </w:tc>
        <w:tc>
          <w:tcPr>
            <w:tcW w:w="851" w:type="dxa"/>
            <w:gridSpan w:val="2"/>
            <w:vAlign w:val="center"/>
          </w:tcPr>
          <w:p>
            <w:pPr>
              <w:rPr>
                <w:rFonts w:hint="eastAsia" w:eastAsia="宋体"/>
                <w:b/>
                <w:color w:val="000000"/>
                <w:sz w:val="20"/>
                <w:szCs w:val="20"/>
                <w:lang w:val="en-US" w:eastAsia="zh-CN"/>
              </w:rPr>
            </w:pPr>
            <w:r>
              <w:rPr>
                <w:rFonts w:hint="eastAsia"/>
                <w:b/>
                <w:color w:val="000000"/>
                <w:sz w:val="20"/>
                <w:szCs w:val="20"/>
                <w:lang w:val="en-US" w:eastAsia="zh-CN"/>
              </w:rPr>
              <w:t>组员</w:t>
            </w:r>
          </w:p>
        </w:tc>
        <w:tc>
          <w:tcPr>
            <w:tcW w:w="1417" w:type="dxa"/>
            <w:vAlign w:val="center"/>
          </w:tcPr>
          <w:p>
            <w:pPr>
              <w:rPr>
                <w:rFonts w:hint="eastAsia" w:eastAsia="宋体"/>
                <w:b/>
                <w:color w:val="000000"/>
                <w:sz w:val="20"/>
                <w:szCs w:val="20"/>
                <w:lang w:val="en-US" w:eastAsia="zh-CN"/>
              </w:rPr>
            </w:pPr>
            <w:r>
              <w:rPr>
                <w:rFonts w:hint="eastAsia"/>
                <w:b/>
                <w:color w:val="000000"/>
                <w:sz w:val="20"/>
                <w:szCs w:val="20"/>
                <w:lang w:val="en-US" w:eastAsia="zh-CN"/>
              </w:rPr>
              <w:t>女</w:t>
            </w:r>
          </w:p>
        </w:tc>
        <w:tc>
          <w:tcPr>
            <w:tcW w:w="3402" w:type="dxa"/>
            <w:gridSpan w:val="5"/>
            <w:vAlign w:val="center"/>
          </w:tcPr>
          <w:p>
            <w:pPr>
              <w:rPr>
                <w:b/>
                <w:color w:val="000000"/>
                <w:sz w:val="20"/>
                <w:szCs w:val="20"/>
              </w:rPr>
            </w:pPr>
            <w:r>
              <w:rPr>
                <w:rFonts w:hint="eastAsia"/>
                <w:b/>
                <w:color w:val="000000"/>
                <w:sz w:val="20"/>
                <w:szCs w:val="20"/>
              </w:rPr>
              <w:t>ISC-259284</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418"/>
        <w:gridCol w:w="100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b/>
                <w:color w:val="000000"/>
                <w:sz w:val="20"/>
                <w:szCs w:val="20"/>
              </w:rPr>
              <w:t>上海煜路电子科技有限公司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930" w:type="dxa"/>
            <w:gridSpan w:val="3"/>
          </w:tcPr>
          <w:p>
            <w:pPr>
              <w:spacing w:line="280" w:lineRule="exact"/>
              <w:rPr>
                <w:rFonts w:ascii="宋体"/>
                <w:b/>
                <w:color w:val="000000"/>
                <w:sz w:val="20"/>
                <w:szCs w:val="20"/>
              </w:rPr>
            </w:pPr>
            <w:r>
              <w:rPr>
                <w:rFonts w:ascii="宋体"/>
                <w:b/>
                <w:color w:val="000000"/>
                <w:sz w:val="20"/>
                <w:szCs w:val="20"/>
              </w:rPr>
              <w:t>上海市闵行区中春路7001号2幢3楼F3096室</w:t>
            </w:r>
          </w:p>
        </w:tc>
        <w:tc>
          <w:tcPr>
            <w:tcW w:w="1004"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930" w:type="dxa"/>
            <w:gridSpan w:val="3"/>
          </w:tcPr>
          <w:p>
            <w:pPr>
              <w:spacing w:line="280" w:lineRule="exact"/>
              <w:rPr>
                <w:rFonts w:ascii="宋体"/>
                <w:b/>
                <w:color w:val="000000"/>
                <w:sz w:val="20"/>
                <w:szCs w:val="20"/>
              </w:rPr>
            </w:pPr>
            <w:r>
              <w:rPr>
                <w:rFonts w:ascii="宋体"/>
                <w:b/>
                <w:color w:val="000000"/>
                <w:sz w:val="20"/>
                <w:szCs w:val="20"/>
              </w:rPr>
              <w:t>上海市闵行区中春路7001号D座308室</w:t>
            </w:r>
          </w:p>
        </w:tc>
        <w:tc>
          <w:tcPr>
            <w:tcW w:w="1004"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 w:name="联系人"/>
            <w:r>
              <w:rPr>
                <w:rFonts w:ascii="宋体"/>
                <w:b/>
                <w:color w:val="000000"/>
                <w:sz w:val="20"/>
                <w:szCs w:val="20"/>
              </w:rPr>
              <w:t>樊莎莎</w:t>
            </w:r>
            <w:bookmarkEnd w:id="1"/>
          </w:p>
        </w:tc>
        <w:tc>
          <w:tcPr>
            <w:tcW w:w="1463" w:type="dxa"/>
            <w:vAlign w:val="center"/>
          </w:tcPr>
          <w:p>
            <w:pPr>
              <w:spacing w:line="280" w:lineRule="exact"/>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418" w:type="dxa"/>
            <w:vAlign w:val="center"/>
          </w:tcPr>
          <w:p>
            <w:pPr>
              <w:spacing w:line="280" w:lineRule="exact"/>
              <w:rPr>
                <w:rFonts w:ascii="宋体"/>
                <w:b/>
                <w:color w:val="000000"/>
                <w:sz w:val="20"/>
                <w:szCs w:val="20"/>
              </w:rPr>
            </w:pPr>
            <w:r>
              <w:rPr>
                <w:rFonts w:ascii="宋体"/>
                <w:b/>
                <w:color w:val="000000"/>
                <w:sz w:val="20"/>
                <w:szCs w:val="20"/>
              </w:rPr>
              <w:t xml:space="preserve"> </w:t>
            </w:r>
            <w:bookmarkStart w:id="2" w:name="联系人手机"/>
            <w:r>
              <w:rPr>
                <w:rFonts w:ascii="宋体"/>
                <w:b/>
                <w:color w:val="000000"/>
                <w:sz w:val="20"/>
                <w:szCs w:val="20"/>
              </w:rPr>
              <w:t>021-51134194</w:t>
            </w:r>
            <w:bookmarkEnd w:id="2"/>
          </w:p>
        </w:tc>
        <w:tc>
          <w:tcPr>
            <w:tcW w:w="1004"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3" w:name="法人"/>
            <w:r>
              <w:rPr>
                <w:rFonts w:ascii="宋体"/>
                <w:b/>
                <w:color w:val="000000"/>
                <w:sz w:val="20"/>
                <w:szCs w:val="20"/>
              </w:rPr>
              <w:t>胡惠忠</w:t>
            </w:r>
            <w:bookmarkEnd w:id="3"/>
          </w:p>
        </w:tc>
        <w:tc>
          <w:tcPr>
            <w:tcW w:w="1463" w:type="dxa"/>
            <w:vAlign w:val="center"/>
          </w:tcPr>
          <w:p>
            <w:pPr>
              <w:rPr>
                <w:rFonts w:ascii="宋体"/>
                <w:b/>
                <w:color w:val="000000"/>
                <w:sz w:val="20"/>
                <w:szCs w:val="20"/>
              </w:rPr>
            </w:pPr>
            <w:r>
              <w:rPr>
                <w:rFonts w:hint="eastAsia" w:ascii="宋体" w:hAnsi="宋体"/>
                <w:b/>
                <w:color w:val="000000"/>
                <w:sz w:val="20"/>
                <w:szCs w:val="20"/>
              </w:rPr>
              <w:t>管理者代表</w:t>
            </w:r>
          </w:p>
        </w:tc>
        <w:tc>
          <w:tcPr>
            <w:tcW w:w="2418" w:type="dxa"/>
          </w:tcPr>
          <w:p>
            <w:pPr>
              <w:rPr>
                <w:rFonts w:ascii="宋体"/>
                <w:b/>
                <w:color w:val="000000"/>
                <w:sz w:val="20"/>
                <w:szCs w:val="20"/>
              </w:rPr>
            </w:pPr>
            <w:r>
              <w:rPr>
                <w:rFonts w:hint="eastAsia" w:ascii="宋体"/>
                <w:b/>
                <w:color w:val="000000"/>
                <w:sz w:val="20"/>
                <w:szCs w:val="20"/>
              </w:rPr>
              <w:t>胡惠忠</w:t>
            </w:r>
          </w:p>
        </w:tc>
        <w:tc>
          <w:tcPr>
            <w:tcW w:w="1004"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w:t>
            </w:r>
            <w:r>
              <w:rPr>
                <w:rFonts w:hint="eastAsia" w:ascii="宋体"/>
                <w:b/>
                <w:color w:val="000000"/>
                <w:sz w:val="20"/>
                <w:szCs w:val="20"/>
                <w:lang w:val="en-US" w:eastAsia="zh-CN"/>
              </w:rPr>
              <w:t>19</w:t>
            </w:r>
            <w:r>
              <w:rPr>
                <w:rFonts w:hint="eastAsia" w:ascii="宋体"/>
                <w:b/>
                <w:color w:val="000000"/>
                <w:sz w:val="20"/>
                <w:szCs w:val="20"/>
              </w:rPr>
              <w:t>年</w:t>
            </w:r>
            <w:r>
              <w:rPr>
                <w:rFonts w:ascii="宋体"/>
                <w:b/>
                <w:color w:val="000000"/>
                <w:sz w:val="20"/>
                <w:szCs w:val="20"/>
              </w:rPr>
              <w:t xml:space="preserve"> </w:t>
            </w:r>
            <w:r>
              <w:rPr>
                <w:rFonts w:hint="eastAsia" w:ascii="宋体"/>
                <w:b/>
                <w:color w:val="000000"/>
                <w:sz w:val="20"/>
                <w:szCs w:val="20"/>
                <w:lang w:val="en-US" w:eastAsia="zh-CN"/>
              </w:rPr>
              <w:t>07</w:t>
            </w:r>
            <w:r>
              <w:rPr>
                <w:rFonts w:hint="eastAsia" w:ascii="宋体"/>
                <w:b/>
                <w:color w:val="000000"/>
                <w:sz w:val="20"/>
                <w:szCs w:val="20"/>
              </w:rPr>
              <w:t>月</w:t>
            </w:r>
            <w:r>
              <w:rPr>
                <w:rFonts w:hint="eastAsia" w:ascii="宋体"/>
                <w:b/>
                <w:color w:val="000000"/>
                <w:sz w:val="20"/>
                <w:szCs w:val="20"/>
                <w:lang w:val="en-US" w:eastAsia="zh-CN"/>
              </w:rPr>
              <w:t>25</w:t>
            </w:r>
            <w:r>
              <w:rPr>
                <w:rFonts w:hint="eastAsia" w:asci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ascii="宋体"/>
                <w:b/>
                <w:color w:val="000000"/>
                <w:sz w:val="20"/>
                <w:szCs w:val="20"/>
                <w:u w:val="single"/>
              </w:rPr>
            </w:pPr>
            <w:r>
              <w:rPr>
                <w:rFonts w:ascii="宋体" w:hAnsi="宋体"/>
                <w:b/>
                <w:color w:val="000000"/>
                <w:sz w:val="20"/>
                <w:szCs w:val="20"/>
              </w:rPr>
              <w:t>QMS:</w:t>
            </w:r>
            <w:bookmarkStart w:id="4" w:name="审核范围"/>
            <w:r>
              <w:rPr>
                <w:rFonts w:hint="eastAsia" w:ascii="宋体" w:hAnsi="宋体"/>
                <w:b/>
                <w:color w:val="000000"/>
                <w:sz w:val="20"/>
                <w:szCs w:val="20"/>
              </w:rPr>
              <w:t>信息、通信、信号技术服务及其相关产品销售，安防设备的销售</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5" w:name="专业代码"/>
            <w:r>
              <w:rPr>
                <w:rFonts w:hint="eastAsia"/>
                <w:b/>
                <w:szCs w:val="21"/>
              </w:rPr>
              <w:t>29.12.00;34.06.00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名称、地址（可附多场所清单）无</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rPr>
              <w:t xml:space="preserve"> 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85" w:firstLineChars="148"/>
        <w:rPr>
          <w:rFonts w:ascii="宋体"/>
          <w:b/>
          <w:color w:val="auto"/>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远程视频进行</w:t>
      </w:r>
      <w:r>
        <w:rPr>
          <w:rFonts w:ascii="宋体" w:hAnsi="宋体"/>
          <w:b/>
          <w:color w:val="000000"/>
          <w:sz w:val="20"/>
          <w:szCs w:val="20"/>
        </w:rPr>
        <w:t xml:space="preserve">, </w:t>
      </w:r>
      <w:r>
        <w:rPr>
          <w:rFonts w:hint="eastAsia" w:ascii="宋体" w:hAnsi="宋体"/>
          <w:b/>
          <w:color w:val="000000"/>
          <w:sz w:val="20"/>
          <w:szCs w:val="20"/>
        </w:rPr>
        <w:t>评审的文</w:t>
      </w:r>
      <w:r>
        <w:rPr>
          <w:rFonts w:hint="eastAsia" w:ascii="宋体" w:hAnsi="宋体"/>
          <w:b/>
          <w:color w:val="auto"/>
          <w:sz w:val="20"/>
          <w:szCs w:val="20"/>
        </w:rPr>
        <w:t>件有企业资质、质量手册、程序文件、管理文件、内审、管理评审、销售/采购合同等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w:t>
      </w:r>
      <w:r>
        <w:rPr>
          <w:rFonts w:hint="eastAsia" w:ascii="宋体" w:hAnsi="宋体"/>
          <w:b/>
          <w:color w:val="000000"/>
          <w:sz w:val="20"/>
          <w:szCs w:val="20"/>
          <w:lang w:val="en-US" w:eastAsia="zh-CN"/>
        </w:rPr>
        <w:t>行政部、采购部、销售部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6" w:name="生产地址"/>
      <w:r>
        <w:rPr>
          <w:rFonts w:hint="eastAsia" w:ascii="宋体" w:hAnsi="宋体"/>
          <w:b/>
          <w:color w:val="000000"/>
          <w:sz w:val="20"/>
          <w:szCs w:val="20"/>
        </w:rPr>
        <w:t>上海市闵行区中春路7001号D座308室</w:t>
      </w:r>
      <w:bookmarkEnd w:id="6"/>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w:t>
            </w:r>
            <w:bookmarkStart w:id="7" w:name="_GoBack"/>
            <w:bookmarkEnd w:id="7"/>
            <w:r>
              <w:rPr>
                <w:rFonts w:hint="eastAsia" w:ascii="宋体" w:hAnsi="宋体"/>
                <w:b/>
                <w:color w:val="000000"/>
                <w:spacing w:val="-10"/>
                <w:sz w:val="20"/>
                <w:szCs w:val="20"/>
              </w:rPr>
              <w:t>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服务：信息、通信、信号技术服务及其相关产品销售，安防设备的销售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w:t>
            </w:r>
            <w:r>
              <w:rPr>
                <w:rFonts w:hint="eastAsia" w:ascii="宋体" w:hAnsi="宋体"/>
                <w:b/>
                <w:color w:val="000000"/>
                <w:sz w:val="20"/>
                <w:szCs w:val="20"/>
                <w:lang w:val="en-US" w:eastAsia="zh-CN"/>
              </w:rPr>
              <w:t>行政部、采购部、销售部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不涉及</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rPr>
              <w:t>不涉及</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受审核方位于：上海市闵行区中春路7001号D座308室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产品技术标准号：《中华人民共和国产品标准化法》、《中华人民共和国</w:t>
            </w:r>
            <w:r>
              <w:rPr>
                <w:rFonts w:hint="eastAsia" w:ascii="宋体" w:hAnsi="宋体"/>
                <w:color w:val="000000"/>
                <w:spacing w:val="-10"/>
                <w:sz w:val="20"/>
                <w:szCs w:val="20"/>
                <w:lang w:eastAsia="zh-CN"/>
              </w:rPr>
              <w:t>专利</w:t>
            </w:r>
            <w:r>
              <w:rPr>
                <w:rFonts w:hint="eastAsia" w:ascii="宋体" w:hAnsi="宋体"/>
                <w:color w:val="000000"/>
                <w:spacing w:val="-10"/>
                <w:sz w:val="20"/>
                <w:szCs w:val="20"/>
              </w:rPr>
              <w:t>法》、《中华人民共和国合同法》</w:t>
            </w:r>
            <w:r>
              <w:rPr>
                <w:rFonts w:hint="eastAsia" w:ascii="宋体" w:hAnsi="宋体"/>
                <w:color w:val="000000"/>
                <w:spacing w:val="-10"/>
                <w:sz w:val="20"/>
                <w:szCs w:val="20"/>
                <w:lang w:eastAsia="zh-CN"/>
              </w:rPr>
              <w:t>、</w:t>
            </w:r>
            <w:r>
              <w:rPr>
                <w:rFonts w:hint="eastAsia" w:ascii="宋体" w:hAnsi="宋体"/>
                <w:color w:val="000000"/>
                <w:spacing w:val="-10"/>
                <w:sz w:val="20"/>
                <w:szCs w:val="20"/>
                <w:lang w:val="fr-FR" w:eastAsia="zh-CN"/>
              </w:rPr>
              <w:t>《铁路通信设计规范》（TB 10006-2016）《高速铁路设计规范》（TB 10621-2014）《铁路数字移动通信系统GSM-R设计规范》（TB 10088-2015）《铁路数字调度通信系统及专用无线通信系统设计规范》（TB 10086-2009）《铁路工程设计防火规范》（TB 10063-2007）《铁路无人值守机房环境远程监控系统工程设计规范》（TB/T 10034-2005）《铁路防雷及接地工程技术规范》（TB 10180-2016）《GSM-R数字移动通信网技术体制（暂行）》（科技运[2006]120号）《铁路GSM-R数字移动通信系统网络技术规划》（铁信息函[2005]120号）《GSM-R无线网络覆盖和服务质量（QOS）测试方法（V1.0）》（科技运［2008］170号）《铁路数字移动通信系统（GSM-R）总体技术要求》（TBT 3224-2013）</w:t>
            </w:r>
            <w:r>
              <w:rPr>
                <w:rFonts w:hint="eastAsia" w:ascii="宋体" w:hAnsi="宋体"/>
                <w:color w:val="000000"/>
                <w:spacing w:val="-10"/>
                <w:sz w:val="20"/>
                <w:szCs w:val="20"/>
                <w:lang w:val="en-US" w:eastAsia="zh-CN"/>
              </w:rPr>
              <w:t>等</w:t>
            </w:r>
          </w:p>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auto"/>
                <w:spacing w:val="-10"/>
                <w:sz w:val="20"/>
                <w:szCs w:val="20"/>
              </w:rPr>
            </w:pPr>
            <w:r>
              <w:rPr>
                <w:rFonts w:hint="eastAsia" w:ascii="宋体" w:hAnsi="宋体"/>
                <w:color w:val="auto"/>
                <w:spacing w:val="-10"/>
                <w:sz w:val="20"/>
                <w:szCs w:val="20"/>
              </w:rPr>
              <w:t>现场是否有产品检验报告</w:t>
            </w:r>
            <w:r>
              <w:rPr>
                <w:rFonts w:hint="eastAsia" w:ascii="宋体" w:hAnsi="宋体"/>
                <w:color w:val="auto"/>
                <w:spacing w:val="-10"/>
                <w:sz w:val="20"/>
                <w:szCs w:val="20"/>
              </w:rPr>
              <w:sym w:font="Wingdings 2" w:char="0052"/>
            </w:r>
            <w:r>
              <w:rPr>
                <w:rFonts w:hint="eastAsia" w:ascii="宋体" w:hAnsi="宋体"/>
                <w:color w:val="auto"/>
                <w:spacing w:val="-10"/>
                <w:sz w:val="20"/>
                <w:szCs w:val="20"/>
              </w:rPr>
              <w:t>（部分产品）</w:t>
            </w:r>
            <w:r>
              <w:rPr>
                <w:rFonts w:hint="eastAsia" w:ascii="宋体" w:hAnsi="宋体"/>
                <w:color w:val="auto"/>
                <w:sz w:val="20"/>
                <w:szCs w:val="20"/>
              </w:rPr>
              <w:t>是</w:t>
            </w:r>
            <w:r>
              <w:rPr>
                <w:rFonts w:hint="eastAsia" w:ascii="宋体" w:hAnsi="宋体"/>
                <w:color w:val="auto"/>
                <w:spacing w:val="-10"/>
                <w:sz w:val="20"/>
                <w:szCs w:val="20"/>
              </w:rPr>
              <w:sym w:font="Wingdings 2" w:char="00A3"/>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pacing w:val="-10"/>
                <w:sz w:val="20"/>
                <w:szCs w:val="20"/>
              </w:rPr>
              <w:sym w:font="Wingdings 2" w:char="0052"/>
            </w:r>
            <w:r>
              <w:rPr>
                <w:rFonts w:hint="eastAsia" w:ascii="宋体" w:hAnsi="宋体"/>
                <w:color w:val="auto"/>
                <w:spacing w:val="-10"/>
                <w:sz w:val="20"/>
                <w:szCs w:val="20"/>
              </w:rPr>
              <w:t>（部分产品）</w:t>
            </w:r>
            <w:r>
              <w:rPr>
                <w:rFonts w:hint="eastAsia" w:ascii="宋体" w:hAnsi="宋体"/>
                <w:color w:val="auto"/>
                <w:sz w:val="20"/>
                <w:szCs w:val="20"/>
              </w:rPr>
              <w:t>是</w:t>
            </w:r>
            <w:r>
              <w:rPr>
                <w:rFonts w:hint="eastAsia" w:ascii="宋体" w:hAnsi="宋体"/>
                <w:color w:val="auto"/>
                <w:spacing w:val="-10"/>
                <w:sz w:val="20"/>
                <w:szCs w:val="20"/>
              </w:rPr>
              <w:sym w:font="Wingdings 2" w:char="00A3"/>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pacing w:val="-10"/>
                <w:sz w:val="20"/>
                <w:szCs w:val="20"/>
              </w:rPr>
              <w:sym w:font="Wingdings 2" w:char="0052"/>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lang w:val="en-US" w:eastAsia="zh-CN"/>
              </w:rPr>
            </w:pPr>
            <w:r>
              <w:rPr>
                <w:rFonts w:hint="eastAsia" w:ascii="宋体"/>
                <w:color w:val="000000"/>
                <w:sz w:val="20"/>
                <w:szCs w:val="20"/>
                <w:lang w:val="en-US" w:eastAsia="zh-CN"/>
              </w:rPr>
              <w:t>技术服务流程：客户要求识别--出技术方案--交付→售后服务</w:t>
            </w:r>
          </w:p>
          <w:p>
            <w:pPr>
              <w:rPr>
                <w:rFonts w:ascii="宋体"/>
                <w:color w:val="000000"/>
                <w:sz w:val="20"/>
                <w:szCs w:val="20"/>
              </w:rPr>
            </w:pPr>
            <w:r>
              <w:rPr>
                <w:rFonts w:hint="eastAsia" w:ascii="宋体"/>
                <w:color w:val="000000"/>
                <w:sz w:val="20"/>
                <w:szCs w:val="20"/>
                <w:lang w:val="en-US" w:eastAsia="zh-CN"/>
              </w:rPr>
              <w:t>销售流程：客户需求—面对面服务—签订合同—采购—发货--验收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关键过程有：销售</w:t>
            </w:r>
            <w:r>
              <w:rPr>
                <w:rFonts w:hint="eastAsia" w:ascii="宋体" w:hAnsi="宋体"/>
                <w:color w:val="000000"/>
                <w:sz w:val="20"/>
                <w:szCs w:val="20"/>
                <w:lang w:val="en-US" w:eastAsia="zh-CN"/>
              </w:rPr>
              <w:t>/技术</w:t>
            </w:r>
            <w:r>
              <w:rPr>
                <w:rFonts w:hint="eastAsia" w:ascii="宋体" w:hAnsi="宋体"/>
                <w:color w:val="000000"/>
                <w:sz w:val="20"/>
                <w:szCs w:val="20"/>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需要确认过程：销售</w:t>
            </w:r>
            <w:r>
              <w:rPr>
                <w:rFonts w:hint="eastAsia" w:ascii="宋体" w:hAnsi="宋体"/>
                <w:color w:val="000000"/>
                <w:sz w:val="20"/>
                <w:szCs w:val="20"/>
                <w:lang w:val="en-US" w:eastAsia="zh-CN"/>
              </w:rPr>
              <w:t>/技术</w:t>
            </w:r>
            <w:r>
              <w:rPr>
                <w:rFonts w:hint="eastAsia" w:ascii="宋体" w:hAnsi="宋体"/>
                <w:color w:val="000000"/>
                <w:sz w:val="20"/>
                <w:szCs w:val="20"/>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ascii="宋体"/>
                <w:color w:val="000000"/>
                <w:spacing w:val="-1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无特殊要求、干净整洁即可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重点审核部门：销售部</w:t>
            </w:r>
          </w:p>
          <w:p>
            <w:pPr>
              <w:spacing w:line="360" w:lineRule="auto"/>
              <w:rPr>
                <w:rFonts w:ascii="宋体"/>
                <w:b/>
                <w:color w:val="000000"/>
                <w:sz w:val="20"/>
                <w:szCs w:val="20"/>
              </w:rPr>
            </w:pPr>
            <w:r>
              <w:rPr>
                <w:rFonts w:hint="eastAsia" w:ascii="宋体" w:hAnsi="宋体"/>
                <w:b/>
                <w:color w:val="000000"/>
                <w:sz w:val="20"/>
                <w:szCs w:val="20"/>
              </w:rPr>
              <w:t>重点审核过程：采购过程控制、服务过程控制、放行控制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策划了目的、</w:t>
            </w:r>
            <w:r>
              <w:rPr>
                <w:rFonts w:hint="eastAsia" w:ascii="宋体" w:hAnsi="宋体"/>
                <w:b/>
                <w:color w:val="000000"/>
                <w:sz w:val="20"/>
                <w:szCs w:val="20"/>
                <w:lang w:val="en-US" w:eastAsia="zh-CN"/>
              </w:rPr>
              <w:t>范围、准则、审核内容、审核员及审核</w:t>
            </w:r>
            <w:r>
              <w:rPr>
                <w:rFonts w:hint="eastAsia" w:ascii="宋体" w:hAnsi="宋体"/>
                <w:b/>
                <w:color w:val="000000"/>
                <w:sz w:val="20"/>
                <w:szCs w:val="20"/>
              </w:rPr>
              <w:t>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覆盖管理系统范围内活动及标准要求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b/>
                <w:color w:val="000000"/>
                <w:sz w:val="20"/>
                <w:szCs w:val="20"/>
                <w:lang w:eastAsia="zh-CN"/>
              </w:rPr>
            </w:pPr>
            <w:r>
              <w:rPr>
                <w:rFonts w:hint="eastAsia" w:ascii="宋体" w:hAnsi="宋体"/>
                <w:b/>
                <w:color w:val="000000"/>
                <w:sz w:val="20"/>
                <w:szCs w:val="20"/>
                <w:lang w:eastAsia="zh-CN"/>
              </w:rPr>
              <w:t>（1） 对管理体系的评价</w:t>
            </w:r>
          </w:p>
          <w:p>
            <w:pPr>
              <w:spacing w:line="260" w:lineRule="exact"/>
              <w:rPr>
                <w:rFonts w:hint="eastAsia" w:ascii="宋体" w:hAnsi="宋体"/>
                <w:b/>
                <w:color w:val="000000"/>
                <w:sz w:val="20"/>
                <w:szCs w:val="20"/>
                <w:lang w:eastAsia="zh-CN"/>
              </w:rPr>
            </w:pPr>
            <w:r>
              <w:rPr>
                <w:rFonts w:hint="eastAsia" w:ascii="宋体" w:hAnsi="宋体"/>
                <w:b/>
                <w:color w:val="000000"/>
                <w:sz w:val="20"/>
                <w:szCs w:val="20"/>
                <w:lang w:eastAsia="zh-CN"/>
              </w:rPr>
              <w:t>通过本次审核，各部门负责人及员工增强了质量意识，提高了质量和安全方面的控制能力，审核组认为本公司建立的管理体系基本符合ISO9001:2015标准的要求，且运行有效。</w:t>
            </w:r>
          </w:p>
          <w:p>
            <w:pPr>
              <w:spacing w:line="260" w:lineRule="exact"/>
              <w:rPr>
                <w:rFonts w:hint="eastAsia" w:ascii="宋体" w:hAnsi="宋体" w:eastAsia="宋体"/>
                <w:b/>
                <w:color w:val="000000"/>
                <w:sz w:val="20"/>
                <w:szCs w:val="20"/>
                <w:lang w:eastAsia="zh-CN"/>
              </w:rPr>
            </w:pPr>
            <w:r>
              <w:rPr>
                <w:rFonts w:hint="eastAsia" w:ascii="宋体" w:hAnsi="宋体"/>
                <w:b/>
                <w:color w:val="000000"/>
                <w:sz w:val="20"/>
                <w:szCs w:val="20"/>
                <w:lang w:eastAsia="zh-CN"/>
              </w:rPr>
              <w:t>⑵ 针对内审时出具的1项不符合项报告，各部门要认真分析原因，举一反三，在1-3个工作日内，采取有效的纠正措施，由内审员跟踪验证其实施效果。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w:t>
            </w:r>
            <w:r>
              <w:rPr>
                <w:rFonts w:hint="eastAsia" w:ascii="宋体" w:hAnsi="宋体"/>
                <w:b/>
                <w:color w:val="000000"/>
                <w:sz w:val="20"/>
                <w:szCs w:val="20"/>
                <w:lang w:val="en-US" w:eastAsia="zh-CN"/>
              </w:rPr>
              <w:t>目的、</w:t>
            </w:r>
            <w:r>
              <w:rPr>
                <w:rFonts w:hint="eastAsia" w:ascii="宋体" w:hAnsi="宋体"/>
                <w:b/>
                <w:color w:val="000000"/>
                <w:sz w:val="20"/>
                <w:szCs w:val="20"/>
              </w:rPr>
              <w:t>时间、地点、参加人、各部门准备资料等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输入充分，内容覆盖标准条款内容。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hint="eastAsia" w:ascii="宋体" w:hAnsi="宋体"/>
                <w:b/>
                <w:color w:val="000000"/>
                <w:sz w:val="20"/>
                <w:szCs w:val="20"/>
              </w:rPr>
            </w:pPr>
            <w:r>
              <w:rPr>
                <w:rFonts w:hint="eastAsia" w:ascii="宋体" w:hAnsi="宋体"/>
                <w:b/>
                <w:color w:val="000000"/>
                <w:sz w:val="20"/>
                <w:szCs w:val="20"/>
              </w:rPr>
              <w:t>1、公司的质量方针和目标与公司目前的情况是适宜的、充分的。</w:t>
            </w:r>
          </w:p>
          <w:p>
            <w:pPr>
              <w:spacing w:line="260" w:lineRule="exact"/>
              <w:rPr>
                <w:rFonts w:hint="eastAsia" w:ascii="宋体" w:hAnsi="宋体"/>
                <w:b/>
                <w:color w:val="000000"/>
                <w:sz w:val="20"/>
                <w:szCs w:val="20"/>
              </w:rPr>
            </w:pPr>
            <w:r>
              <w:rPr>
                <w:rFonts w:hint="eastAsia" w:ascii="宋体" w:hAnsi="宋体"/>
                <w:b/>
                <w:color w:val="000000"/>
                <w:sz w:val="20"/>
                <w:szCs w:val="20"/>
              </w:rPr>
              <w:t>2、公司的管理体系与公司目前的状况是适宜、有效的，正沿着良性发展的道路运行着。但随着公司改革改制的进展，也存在一些问题，对此评审会议确定如下几点措施：</w:t>
            </w:r>
          </w:p>
          <w:p>
            <w:pPr>
              <w:spacing w:line="260" w:lineRule="exact"/>
              <w:rPr>
                <w:rFonts w:ascii="宋体" w:hAnsi="宋体"/>
                <w:b/>
                <w:color w:val="000000"/>
                <w:sz w:val="20"/>
                <w:szCs w:val="20"/>
              </w:rPr>
            </w:pPr>
            <w:r>
              <w:rPr>
                <w:rFonts w:hint="eastAsia" w:ascii="宋体" w:hAnsi="宋体"/>
                <w:b/>
                <w:color w:val="000000"/>
                <w:sz w:val="20"/>
                <w:szCs w:val="20"/>
              </w:rPr>
              <w:t>（1）认真学习新的ISO9001:2015版本。（2）加强人员的培训，为公司升为管理体系的持续改进打基础。（3）由生技部组织一次加强对现场销售人员的质量意识教育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内审、管理评审基本有效，已具备二阶段审核条件。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ascii="宋体" w:hAnsi="宋体"/>
          <w:b/>
          <w:color w:val="000000"/>
          <w:sz w:val="20"/>
          <w:szCs w:val="20"/>
          <w:u w:val="single"/>
        </w:rPr>
        <w:t>__</w:t>
      </w:r>
      <w:r>
        <w:rPr>
          <w:rFonts w:ascii="宋体" w:hAnsi="宋体"/>
          <w:b/>
          <w:color w:val="000000"/>
          <w:sz w:val="20"/>
          <w:szCs w:val="20"/>
        </w:rPr>
        <w:t xml:space="preserve"> ____</w:t>
      </w:r>
    </w:p>
    <w:p>
      <w:pPr>
        <w:spacing w:before="156" w:beforeLines="50" w:after="62" w:afterLines="20" w:line="360" w:lineRule="exact"/>
        <w:rPr>
          <w:rFonts w:ascii="宋体"/>
          <w:b/>
          <w:bCs/>
          <w:color w:val="000000"/>
          <w:sz w:val="26"/>
          <w:szCs w:val="26"/>
        </w:rPr>
      </w:pPr>
      <w:r>
        <w:drawing>
          <wp:anchor distT="0" distB="0" distL="114300" distR="114300" simplePos="0" relativeHeight="251658240" behindDoc="1" locked="0" layoutInCell="1" allowOverlap="1">
            <wp:simplePos x="0" y="0"/>
            <wp:positionH relativeFrom="column">
              <wp:posOffset>1911985</wp:posOffset>
            </wp:positionH>
            <wp:positionV relativeFrom="paragraph">
              <wp:posOffset>140335</wp:posOffset>
            </wp:positionV>
            <wp:extent cx="1025525" cy="586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25525" cy="58610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1044" w:firstLineChars="400"/>
        <w:rPr>
          <w:rFonts w:ascii="宋体"/>
          <w:b/>
          <w:bCs/>
          <w:color w:val="000000"/>
          <w:sz w:val="26"/>
          <w:szCs w:val="26"/>
        </w:rPr>
      </w:pPr>
    </w:p>
    <w:p>
      <w:pPr>
        <w:spacing w:line="400" w:lineRule="exact"/>
        <w:ind w:firstLine="840" w:firstLineChars="400"/>
        <w:rPr>
          <w:rFonts w:ascii="宋体"/>
          <w:b/>
          <w:color w:val="000000"/>
        </w:rPr>
      </w:pPr>
      <w:r>
        <w:drawing>
          <wp:anchor distT="0" distB="0" distL="114300" distR="114300" simplePos="0" relativeHeight="251662336" behindDoc="1" locked="0" layoutInCell="1" allowOverlap="1">
            <wp:simplePos x="0" y="0"/>
            <wp:positionH relativeFrom="column">
              <wp:posOffset>1751330</wp:posOffset>
            </wp:positionH>
            <wp:positionV relativeFrom="paragraph">
              <wp:posOffset>69215</wp:posOffset>
            </wp:positionV>
            <wp:extent cx="693420" cy="290830"/>
            <wp:effectExtent l="0" t="0" r="5080" b="127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693420" cy="29083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2020年</w:t>
      </w:r>
      <w:r>
        <w:rPr>
          <w:rFonts w:hint="eastAsia" w:ascii="宋体" w:hAnsi="宋体"/>
          <w:b/>
          <w:color w:val="000000"/>
          <w:lang w:val="en-US" w:eastAsia="zh-CN"/>
        </w:rPr>
        <w:t>07</w:t>
      </w:r>
      <w:r>
        <w:rPr>
          <w:rFonts w:hint="eastAsia" w:ascii="宋体" w:hAnsi="宋体"/>
          <w:b/>
          <w:color w:val="000000"/>
        </w:rPr>
        <w:t>月</w:t>
      </w:r>
      <w:r>
        <w:rPr>
          <w:rFonts w:hint="eastAsia" w:ascii="宋体" w:hAnsi="宋体"/>
          <w:b/>
          <w:color w:val="000000"/>
          <w:lang w:val="en-US" w:eastAsia="zh-CN"/>
        </w:rPr>
        <w:t>13</w:t>
      </w:r>
      <w:r>
        <w:rPr>
          <w:rFonts w:hint="eastAsia" w:ascii="宋体" w:hAnsi="宋体"/>
          <w:b/>
          <w:color w:val="000000"/>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pStyle w:val="5"/>
        <w:pBdr>
          <w:bottom w:val="none" w:color="auto" w:sz="0" w:space="0"/>
        </w:pBdr>
        <w:ind w:right="600" w:firstLine="660"/>
        <w:rPr>
          <w:rFonts w:eastAsia="隶书"/>
          <w:color w:val="000000"/>
          <w:sz w:val="32"/>
          <w:szCs w:val="32"/>
        </w:rPr>
      </w:pPr>
    </w:p>
    <w:p>
      <w:pPr>
        <w:pStyle w:val="5"/>
        <w:pBdr>
          <w:bottom w:val="none" w:color="auto" w:sz="0" w:space="0"/>
        </w:pBdr>
        <w:ind w:right="600"/>
        <w:jc w:val="both"/>
        <w:rPr>
          <w:rFonts w:eastAsia="隶书"/>
          <w:color w:val="000000"/>
          <w:sz w:val="32"/>
          <w:szCs w:val="32"/>
        </w:rPr>
      </w:pP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5"/>
      <w:pBdr>
        <w:bottom w:val="none" w:color="auto" w:sz="0" w:space="1"/>
      </w:pBdr>
      <w:spacing w:line="320" w:lineRule="exact"/>
      <w:ind w:firstLine="720" w:firstLineChars="400"/>
      <w:jc w:val="left"/>
    </w:pPr>
    <w:r>
      <w:pict>
        <v:shape id="文本框 1" o:spid="_x0000_s3074"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72504"/>
    <w:rsid w:val="00084370"/>
    <w:rsid w:val="000A3715"/>
    <w:rsid w:val="000B1456"/>
    <w:rsid w:val="000C5A14"/>
    <w:rsid w:val="000C691C"/>
    <w:rsid w:val="000D203D"/>
    <w:rsid w:val="000D41B8"/>
    <w:rsid w:val="000E78BF"/>
    <w:rsid w:val="000F224E"/>
    <w:rsid w:val="0010395B"/>
    <w:rsid w:val="00134BFD"/>
    <w:rsid w:val="00140F7D"/>
    <w:rsid w:val="00146C97"/>
    <w:rsid w:val="00162C55"/>
    <w:rsid w:val="00183D5D"/>
    <w:rsid w:val="001B2618"/>
    <w:rsid w:val="001B7FFE"/>
    <w:rsid w:val="00203463"/>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B4279"/>
    <w:rsid w:val="004F251A"/>
    <w:rsid w:val="005003C2"/>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54DF6"/>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47693"/>
    <w:rsid w:val="00854F9A"/>
    <w:rsid w:val="00871B00"/>
    <w:rsid w:val="008925CF"/>
    <w:rsid w:val="0089273E"/>
    <w:rsid w:val="00896557"/>
    <w:rsid w:val="008C2E1A"/>
    <w:rsid w:val="008D090C"/>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A645A"/>
    <w:rsid w:val="00AB23A7"/>
    <w:rsid w:val="00AC0359"/>
    <w:rsid w:val="00AD1764"/>
    <w:rsid w:val="00B019A4"/>
    <w:rsid w:val="00B107F8"/>
    <w:rsid w:val="00B367EA"/>
    <w:rsid w:val="00B45ECB"/>
    <w:rsid w:val="00B52382"/>
    <w:rsid w:val="00B67A26"/>
    <w:rsid w:val="00B75FC6"/>
    <w:rsid w:val="00B87151"/>
    <w:rsid w:val="00BB115E"/>
    <w:rsid w:val="00BC76F9"/>
    <w:rsid w:val="00BE64CA"/>
    <w:rsid w:val="00C05807"/>
    <w:rsid w:val="00C408AA"/>
    <w:rsid w:val="00C45A34"/>
    <w:rsid w:val="00C557E5"/>
    <w:rsid w:val="00C64983"/>
    <w:rsid w:val="00C70853"/>
    <w:rsid w:val="00C73DE6"/>
    <w:rsid w:val="00C74FD8"/>
    <w:rsid w:val="00C81EA5"/>
    <w:rsid w:val="00CA0B06"/>
    <w:rsid w:val="00CB5B5A"/>
    <w:rsid w:val="00CC5C6F"/>
    <w:rsid w:val="00CC5D3D"/>
    <w:rsid w:val="00CC7F51"/>
    <w:rsid w:val="00CF7756"/>
    <w:rsid w:val="00D1718E"/>
    <w:rsid w:val="00D87803"/>
    <w:rsid w:val="00DD092B"/>
    <w:rsid w:val="00DD6639"/>
    <w:rsid w:val="00DD69B1"/>
    <w:rsid w:val="00DE78F6"/>
    <w:rsid w:val="00DF55BF"/>
    <w:rsid w:val="00E063C3"/>
    <w:rsid w:val="00E46514"/>
    <w:rsid w:val="00E654D7"/>
    <w:rsid w:val="00E837C5"/>
    <w:rsid w:val="00E8551A"/>
    <w:rsid w:val="00EA5E27"/>
    <w:rsid w:val="00EC3AC2"/>
    <w:rsid w:val="00EC5AF6"/>
    <w:rsid w:val="00ED43D0"/>
    <w:rsid w:val="00EE5187"/>
    <w:rsid w:val="00EF1786"/>
    <w:rsid w:val="00EF7D0C"/>
    <w:rsid w:val="00F07780"/>
    <w:rsid w:val="00F132D7"/>
    <w:rsid w:val="00F57EB8"/>
    <w:rsid w:val="00F651EB"/>
    <w:rsid w:val="00F769D3"/>
    <w:rsid w:val="00F9713E"/>
    <w:rsid w:val="00FA3157"/>
    <w:rsid w:val="00FB7F57"/>
    <w:rsid w:val="00FE639C"/>
    <w:rsid w:val="0249751E"/>
    <w:rsid w:val="02E07729"/>
    <w:rsid w:val="03371D3F"/>
    <w:rsid w:val="0A77202E"/>
    <w:rsid w:val="0BCF29C8"/>
    <w:rsid w:val="0F535AED"/>
    <w:rsid w:val="16432940"/>
    <w:rsid w:val="1AF9469F"/>
    <w:rsid w:val="1CD5576A"/>
    <w:rsid w:val="1D943A74"/>
    <w:rsid w:val="21A13CEC"/>
    <w:rsid w:val="25B22136"/>
    <w:rsid w:val="2A8F72DA"/>
    <w:rsid w:val="2AF73805"/>
    <w:rsid w:val="39640093"/>
    <w:rsid w:val="3BEA2605"/>
    <w:rsid w:val="3EC06726"/>
    <w:rsid w:val="41813BC3"/>
    <w:rsid w:val="437870EA"/>
    <w:rsid w:val="460A2BD7"/>
    <w:rsid w:val="49916B26"/>
    <w:rsid w:val="4E7F1263"/>
    <w:rsid w:val="54EC2B84"/>
    <w:rsid w:val="574801C8"/>
    <w:rsid w:val="574F064A"/>
    <w:rsid w:val="57FE21D9"/>
    <w:rsid w:val="58211214"/>
    <w:rsid w:val="62362907"/>
    <w:rsid w:val="683F2E30"/>
    <w:rsid w:val="69CA6789"/>
    <w:rsid w:val="6A5F6C3E"/>
    <w:rsid w:val="6E3043BF"/>
    <w:rsid w:val="7E0C1E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next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locked/>
    <w:uiPriority w:val="0"/>
    <w:rPr>
      <w:b/>
    </w:rPr>
  </w:style>
  <w:style w:type="character" w:styleId="11">
    <w:name w:val="Hyperlink"/>
    <w:uiPriority w:val="99"/>
    <w:rPr>
      <w:color w:val="0000FF"/>
      <w:u w:val="single"/>
    </w:rPr>
  </w:style>
  <w:style w:type="character" w:customStyle="1" w:styleId="12">
    <w:name w:val="页眉 Char"/>
    <w:link w:val="5"/>
    <w:qFormat/>
    <w:locked/>
    <w:uiPriority w:val="99"/>
    <w:rPr>
      <w:rFonts w:ascii="Calibri" w:hAnsi="Calibri" w:eastAsia="宋体" w:cs="Times New Roman"/>
      <w:sz w:val="18"/>
      <w:szCs w:val="18"/>
    </w:rPr>
  </w:style>
  <w:style w:type="character" w:customStyle="1" w:styleId="13">
    <w:name w:val="批注框文本 Char"/>
    <w:link w:val="3"/>
    <w:semiHidden/>
    <w:qFormat/>
    <w:locked/>
    <w:uiPriority w:val="99"/>
    <w:rPr>
      <w:rFonts w:ascii="Times New Roman" w:hAnsi="Times New Roman" w:eastAsia="宋体" w:cs="Times New Roman"/>
      <w:sz w:val="18"/>
      <w:szCs w:val="18"/>
    </w:rPr>
  </w:style>
  <w:style w:type="character" w:customStyle="1" w:styleId="14">
    <w:name w:val="页脚 Char"/>
    <w:link w:val="4"/>
    <w:qFormat/>
    <w:locked/>
    <w:uiPriority w:val="99"/>
    <w:rPr>
      <w:rFonts w:ascii="Times New Roman" w:hAnsi="Times New Roman" w:eastAsia="宋体" w:cs="Times New Roman"/>
      <w:sz w:val="18"/>
      <w:szCs w:val="18"/>
    </w:rPr>
  </w:style>
  <w:style w:type="character" w:customStyle="1" w:styleId="15">
    <w:name w:val="副标题 Char"/>
    <w:link w:val="6"/>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1070</Words>
  <Characters>6100</Characters>
  <Lines>50</Lines>
  <Paragraphs>14</Paragraphs>
  <TotalTime>8</TotalTime>
  <ScaleCrop>false</ScaleCrop>
  <LinksUpToDate>false</LinksUpToDate>
  <CharactersWithSpaces>7156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acer</cp:lastModifiedBy>
  <dcterms:modified xsi:type="dcterms:W3CDTF">2020-07-14T02:25:01Z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