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天津博昊科技发展有限公司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0342-2020-Q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yellow"/>
                <w:lang w:val="en-US" w:eastAsia="zh-CN"/>
              </w:rPr>
            </w:pPr>
            <w:r>
              <w:rPr>
                <w:rFonts w:hint="eastAsia"/>
                <w:b/>
                <w:sz w:val="22"/>
                <w:szCs w:val="22"/>
                <w:highlight w:val="yellow"/>
                <w:lang w:val="en-US" w:eastAsia="zh-CN"/>
              </w:rPr>
              <w:t>杨杰</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snapToGrid w:val="0"/>
              <w:spacing w:line="320" w:lineRule="exact"/>
              <w:ind w:left="1309"/>
              <w:rPr>
                <w:b/>
                <w:sz w:val="22"/>
                <w:szCs w:val="22"/>
                <w:highlight w:val="yellow"/>
              </w:rPr>
            </w:pPr>
            <w:r>
              <w:rPr>
                <w:rFonts w:hint="eastAsia"/>
                <w:b/>
                <w:sz w:val="22"/>
                <w:szCs w:val="22"/>
                <w:highlight w:val="yellow"/>
              </w:rPr>
              <w:t>ISC-259284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2020.7.14上午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2020.7.14上午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2020.7.14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DA4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2020-07-12T11:04:26Z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