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10728-2023-EEnMS-2025</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西乌珠穆沁旗意隆煤业有限责任公司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91152526793628649N</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E:未认可,EnMS:未认可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E：GB/T 24001-2016/ISO14001:2015,EnMS：GB/T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西乌珠穆沁旗意隆煤业有限责任公司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内蒙古自治区西乌旗巴拉嘎尔高勒镇宝日套勒盖街</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内蒙古自治区锡林郭勒盟西乌珠穆沁旗白音华镇宝日胡硕嘎查</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E：露天煤矿的开采（限许可范围内）所涉及场所的相关环境管理活动</w:t>
            </w:r>
          </w:p>
          <w:p w:rsidR="00F1039B">
            <w:pPr>
              <w:snapToGrid w:val="0"/>
              <w:spacing w:line="0" w:lineRule="atLeast"/>
              <w:jc w:val="left"/>
              <w:rPr>
                <w:sz w:val="21"/>
                <w:szCs w:val="21"/>
                <w:lang w:val="en-GB"/>
              </w:rPr>
            </w:pPr>
            <w:r>
              <w:rPr>
                <w:sz w:val="21"/>
                <w:szCs w:val="21"/>
                <w:lang w:val="en-GB"/>
              </w:rPr>
              <w:t>EnMS：露天煤矿的开采（限许可范围内）所涉及的能源管理活动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西乌珠穆沁旗意隆煤业有限责任公司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内蒙古自治区西乌旗巴拉嘎尔高勒镇宝日套勒盖街</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内蒙古自治区锡林郭勒盟西乌珠穆沁旗白音华镇宝日胡硕嘎查</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E：露天煤矿的开采（限许可范围内）所涉及场所的相关环境管理活动</w:t>
            </w:r>
          </w:p>
          <w:p w:rsidR="00E9533D" w:rsidP="00E9533D">
            <w:pPr>
              <w:snapToGrid w:val="0"/>
              <w:spacing w:line="0" w:lineRule="atLeast"/>
              <w:jc w:val="left"/>
              <w:rPr>
                <w:sz w:val="21"/>
                <w:szCs w:val="21"/>
                <w:lang w:val="en-GB"/>
              </w:rPr>
            </w:pPr>
            <w:r>
              <w:rPr>
                <w:sz w:val="21"/>
                <w:szCs w:val="21"/>
                <w:lang w:val="en-GB"/>
              </w:rPr>
              <w:t>EnMS：露天煤矿的开采（限许可范围内）所涉及的能源管理活动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E:,EnMS:</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